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val="0"/>
        <w:spacing w:beforeLines="100" w:afterLines="100" w:line="560" w:lineRule="exact"/>
        <w:jc w:val="center"/>
        <w:rPr>
          <w:rFonts w:ascii="方正小标宋简体" w:hAnsi="方正小标宋简体" w:eastAsia="方正小标宋简体" w:cs="方正小标宋简体"/>
          <w:color w:val="000000"/>
          <w:sz w:val="44"/>
          <w:lang w:eastAsia="zh-CN"/>
        </w:rPr>
      </w:pPr>
      <w:bookmarkStart w:id="0" w:name="_GoBack"/>
      <w:bookmarkEnd w:id="0"/>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500" w:lineRule="exact"/>
        <w:jc w:val="left"/>
        <w:rPr>
          <w:rFonts w:ascii="宋体" w:hAnsi="宋体" w:eastAsia="宋体" w:cs="宋体"/>
          <w:color w:val="000000"/>
          <w:sz w:val="18"/>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产学研合作</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产学研活动</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10</w:t>
            </w:r>
            <w:r>
              <w:rPr>
                <w:rFonts w:hint="eastAsia" w:asciiTheme="majorEastAsia" w:hAnsiTheme="majorEastAsia" w:eastAsiaTheme="majorEastAsia"/>
                <w:b w:val="0"/>
                <w:sz w:val="20"/>
                <w:szCs w:val="20"/>
              </w:rPr>
              <w:t>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13次</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新增5万元以上产学研合作项目</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180项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231项</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项目实施时效</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3</w:t>
            </w:r>
            <w:r>
              <w:rPr>
                <w:rFonts w:hint="eastAsia" w:asciiTheme="majorEastAsia" w:hAnsiTheme="majorEastAsia" w:eastAsiaTheme="majorEastAsia"/>
                <w:b w:val="0"/>
                <w:sz w:val="20"/>
                <w:szCs w:val="20"/>
              </w:rPr>
              <w:t>年</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3</w:t>
            </w:r>
            <w:r>
              <w:rPr>
                <w:rFonts w:hint="eastAsia" w:asciiTheme="majorEastAsia" w:hAnsiTheme="majorEastAsia" w:eastAsiaTheme="majorEastAsia"/>
                <w:b w:val="0"/>
                <w:sz w:val="20"/>
                <w:szCs w:val="20"/>
              </w:rPr>
              <w:t>年</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200万元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200万元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推动科技创新驱动发展</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推动科技创新驱动发展（10分）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支付产学研合作费用</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序时进度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序时进度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年新增产学研合作项目</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产学研合作项目增长（4分）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2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服务对象满意度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满意度达 95%以上（8分），低于 95%按比例扣分</w:t>
            </w:r>
          </w:p>
        </w:tc>
      </w:tr>
      <w:tr>
        <w:tblPrEx>
          <w:tblCellMar>
            <w:top w:w="0" w:type="dxa"/>
            <w:left w:w="108" w:type="dxa"/>
            <w:bottom w:w="0" w:type="dxa"/>
            <w:right w:w="108" w:type="dxa"/>
          </w:tblCellMar>
        </w:tblPrEx>
        <w:trPr>
          <w:trHeight w:val="491"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5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项目支出绩效评价报告</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一、项目情况</w:t>
      </w:r>
    </w:p>
    <w:p>
      <w:pPr>
        <w:pStyle w:val="11"/>
        <w:widowControl w:val="0"/>
        <w:spacing w:before="0" w:after="0" w:line="520" w:lineRule="exact"/>
        <w:ind w:firstLine="624"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pacing w:val="-4"/>
          <w:sz w:val="32"/>
          <w:szCs w:val="32"/>
          <w:lang w:eastAsia="zh-CN"/>
        </w:rPr>
        <w:t>（一）项目概况</w:t>
      </w:r>
      <w:r>
        <w:rPr>
          <w:rFonts w:hint="eastAsia" w:ascii="仿宋_GB2312" w:hAnsi="仿宋_GB2312" w:eastAsia="仿宋_GB2312" w:cs="仿宋_GB2312"/>
          <w:color w:val="000000"/>
          <w:sz w:val="32"/>
          <w:szCs w:val="32"/>
          <w:lang w:eastAsia="zh-CN"/>
        </w:rPr>
        <w:t>。</w:t>
      </w:r>
    </w:p>
    <w:p>
      <w:pPr>
        <w:pStyle w:val="11"/>
        <w:widowControl w:val="0"/>
        <w:spacing w:before="0" w:after="0" w:line="520" w:lineRule="exact"/>
        <w:ind w:firstLine="640" w:firstLineChars="200"/>
        <w:rPr>
          <w:rFonts w:hint="eastAsia" w:ascii="仿宋_GB2312" w:hAnsi="仿宋_GB2312" w:eastAsia="仿宋_GB2312" w:cs="仿宋_GB2312"/>
          <w:color w:val="000000"/>
          <w:sz w:val="32"/>
          <w:szCs w:val="32"/>
          <w:lang w:eastAsia="zh-CN"/>
        </w:rPr>
      </w:pPr>
      <w:r>
        <w:rPr>
          <w:rFonts w:ascii="仿宋_GB2312" w:hAnsi="仿宋_GB2312" w:eastAsia="仿宋_GB2312" w:cs="仿宋_GB2312"/>
          <w:color w:val="000000"/>
          <w:sz w:val="32"/>
          <w:szCs w:val="32"/>
          <w:lang w:eastAsia="zh-CN"/>
        </w:rPr>
        <w:t>产学研合作是</w:t>
      </w:r>
      <w:r>
        <w:rPr>
          <w:rFonts w:hint="eastAsia" w:ascii="仿宋_GB2312" w:hAnsi="仿宋_GB2312" w:eastAsia="仿宋_GB2312" w:cs="仿宋_GB2312"/>
          <w:color w:val="000000"/>
          <w:sz w:val="32"/>
          <w:szCs w:val="32"/>
          <w:lang w:eastAsia="zh-CN"/>
        </w:rPr>
        <w:t>加强</w:t>
      </w:r>
      <w:r>
        <w:rPr>
          <w:rFonts w:ascii="仿宋_GB2312" w:hAnsi="仿宋_GB2312" w:eastAsia="仿宋_GB2312" w:cs="仿宋_GB2312"/>
          <w:color w:val="000000"/>
          <w:sz w:val="32"/>
          <w:szCs w:val="32"/>
          <w:lang w:eastAsia="zh-CN"/>
        </w:rPr>
        <w:t>企业科技进步与自主创新的重要手段，通过开展产学研活动，</w:t>
      </w:r>
      <w:r>
        <w:rPr>
          <w:rFonts w:hint="eastAsia" w:ascii="仿宋_GB2312" w:hAnsi="仿宋_GB2312" w:eastAsia="仿宋_GB2312" w:cs="仿宋_GB2312"/>
          <w:color w:val="000000"/>
          <w:sz w:val="32"/>
          <w:szCs w:val="32"/>
          <w:lang w:eastAsia="zh-CN"/>
        </w:rPr>
        <w:t>能</w:t>
      </w:r>
      <w:r>
        <w:rPr>
          <w:rFonts w:ascii="仿宋_GB2312" w:hAnsi="仿宋_GB2312" w:eastAsia="仿宋_GB2312" w:cs="仿宋_GB2312"/>
          <w:color w:val="000000"/>
          <w:sz w:val="32"/>
          <w:szCs w:val="32"/>
          <w:lang w:eastAsia="zh-CN"/>
        </w:rPr>
        <w:t>有效地促进高校科技成果</w:t>
      </w:r>
      <w:r>
        <w:rPr>
          <w:rFonts w:hint="eastAsia" w:ascii="仿宋_GB2312" w:hAnsi="仿宋_GB2312" w:eastAsia="仿宋_GB2312" w:cs="仿宋_GB2312"/>
          <w:color w:val="000000"/>
          <w:sz w:val="32"/>
          <w:szCs w:val="32"/>
          <w:lang w:eastAsia="zh-CN"/>
        </w:rPr>
        <w:t>的</w:t>
      </w:r>
      <w:r>
        <w:rPr>
          <w:rFonts w:ascii="仿宋_GB2312" w:hAnsi="仿宋_GB2312" w:eastAsia="仿宋_GB2312" w:cs="仿宋_GB2312"/>
          <w:color w:val="000000"/>
          <w:sz w:val="32"/>
          <w:szCs w:val="32"/>
          <w:lang w:eastAsia="zh-CN"/>
        </w:rPr>
        <w:t>引进和转化，帮助</w:t>
      </w:r>
      <w:r>
        <w:rPr>
          <w:rFonts w:hint="eastAsia" w:ascii="仿宋_GB2312" w:hAnsi="仿宋_GB2312" w:eastAsia="仿宋_GB2312" w:cs="仿宋_GB2312"/>
          <w:color w:val="000000"/>
          <w:sz w:val="32"/>
          <w:szCs w:val="32"/>
          <w:lang w:eastAsia="zh-CN"/>
        </w:rPr>
        <w:t>我市</w:t>
      </w:r>
      <w:r>
        <w:rPr>
          <w:rFonts w:ascii="仿宋_GB2312" w:hAnsi="仿宋_GB2312" w:eastAsia="仿宋_GB2312" w:cs="仿宋_GB2312"/>
          <w:color w:val="000000"/>
          <w:sz w:val="32"/>
          <w:szCs w:val="32"/>
          <w:lang w:eastAsia="zh-CN"/>
        </w:rPr>
        <w:t>企业解决技术难题，提升企业自主创新能力和核心竞争力</w:t>
      </w:r>
      <w:r>
        <w:rPr>
          <w:rFonts w:hint="eastAsia" w:ascii="仿宋_GB2312" w:hAnsi="仿宋_GB2312" w:eastAsia="仿宋_GB2312" w:cs="仿宋_GB2312"/>
          <w:color w:val="000000"/>
          <w:sz w:val="32"/>
          <w:szCs w:val="32"/>
          <w:lang w:eastAsia="zh-CN"/>
        </w:rPr>
        <w:t>，推动全市高质量发展</w:t>
      </w:r>
      <w:r>
        <w:rPr>
          <w:rFonts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eastAsia="zh-CN"/>
        </w:rPr>
        <w:t>2023年</w:t>
      </w:r>
      <w:r>
        <w:rPr>
          <w:rFonts w:ascii="仿宋_GB2312" w:hAnsi="仿宋_GB2312" w:eastAsia="仿宋_GB2312" w:cs="仿宋_GB2312"/>
          <w:color w:val="000000"/>
          <w:sz w:val="32"/>
          <w:szCs w:val="32"/>
          <w:lang w:eastAsia="zh-CN"/>
        </w:rPr>
        <w:t>先后邀请清华大学、上海交通大学、吉林大学、北京科技大学等高校来如，组织企业参加“武汉行”、“郑州行”、“第二届江苏产学研合作对接大会”等产学研活动，全面提升校企合作的精准性和成功率。</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项目投入200万元，主要用于会务资料、展厅租赁、来宾食宿、宣传片制作、专家咨询费、邀请客商专家等差旅费、专家来如差旅费等。</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（二）绩效目标。</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总目标：引导企业与高校、科研院所深度合作，帮助企业解决技术难题，提升企业自主创新能力和核心竞争力，建立以企业为主体、市场为导向、产学研深度融合的技术创新体系。</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阶段性目标：产学研合作是推动企业科技进步与自主创新的重要手段和必由途径，在自主创新战略中发挥着重要的作用。通过产学研合作，能有效地促进高校科技成果引进和转化，帮助企业解决技术难题，提升企业自主创新能力和核心竞争力。</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二、评价情况</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（一）项目特点分析。</w:t>
      </w:r>
    </w:p>
    <w:p>
      <w:pPr>
        <w:pStyle w:val="11"/>
        <w:widowControl w:val="0"/>
        <w:spacing w:before="0" w:after="0" w:line="520" w:lineRule="exact"/>
        <w:ind w:firstLine="640"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产学研合作是推动企业科技进步与自主创新的重要手段和必由途径，在自主创新战略中发挥着重要的作用。</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（二）评价思路方法。</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1.根据《如皋市市级项目支出绩效评价管理办法》、《2023年预算绩效管理工作要求》，严格落实评价工作责任制，成立绩效评价工作小组，指定专人负责自我评价工作</w:t>
      </w:r>
    </w:p>
    <w:p>
      <w:pPr>
        <w:pStyle w:val="11"/>
        <w:widowControl w:val="0"/>
        <w:spacing w:before="0" w:after="0" w:line="50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根据项目实际情况，制定评价工作责任制和项目用款计划，严格按评价要求和项目特点选用评价方法和指标体系。</w:t>
      </w:r>
    </w:p>
    <w:p>
      <w:pPr>
        <w:pStyle w:val="11"/>
        <w:widowControl w:val="0"/>
        <w:spacing w:before="0" w:after="0" w:line="50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（三）评价工作情况。</w:t>
      </w:r>
    </w:p>
    <w:p>
      <w:pPr>
        <w:pStyle w:val="11"/>
        <w:widowControl w:val="0"/>
        <w:spacing w:before="0" w:after="0" w:line="50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1"/>
        <w:widowControl w:val="0"/>
        <w:spacing w:before="0" w:after="0" w:line="500" w:lineRule="exact"/>
        <w:ind w:firstLine="640"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z w:val="32"/>
          <w:szCs w:val="32"/>
          <w:lang w:eastAsia="zh-CN"/>
        </w:rPr>
        <w:t>（四）绩效评价</w:t>
      </w:r>
      <w:r>
        <w:rPr>
          <w:rFonts w:hint="eastAsia" w:ascii="仿宋_GB2312" w:hAnsi="仿宋_GB2312" w:eastAsia="仿宋_GB2312" w:cs="仿宋_GB2312"/>
          <w:color w:val="000000"/>
          <w:spacing w:val="-4"/>
          <w:sz w:val="32"/>
          <w:szCs w:val="32"/>
          <w:lang w:eastAsia="zh-CN"/>
        </w:rPr>
        <w:t>结论。</w:t>
      </w:r>
    </w:p>
    <w:p>
      <w:pPr>
        <w:pStyle w:val="11"/>
        <w:widowControl w:val="0"/>
        <w:spacing w:before="0" w:after="0" w:line="50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项目达到了预期的目标，资金使用有效。评价得分100分，评价等次为“优”。</w:t>
      </w:r>
    </w:p>
    <w:p>
      <w:pPr>
        <w:pStyle w:val="11"/>
        <w:widowControl w:val="0"/>
        <w:spacing w:before="0" w:after="0" w:line="500" w:lineRule="exact"/>
        <w:ind w:firstLine="564" w:firstLineChars="200"/>
        <w:rPr>
          <w:rFonts w:ascii="仿宋_GB2312" w:hAnsi="仿宋_GB2312" w:eastAsia="仿宋_GB2312" w:cs="仿宋_GB2312"/>
          <w:color w:val="000000"/>
          <w:spacing w:val="-7"/>
          <w:sz w:val="32"/>
          <w:szCs w:val="32"/>
          <w:lang w:eastAsia="zh-CN"/>
        </w:rPr>
      </w:pPr>
      <w:r>
        <w:rPr>
          <w:rFonts w:hint="eastAsia" w:ascii="仿宋_GB2312" w:hAnsi="仿宋_GB2312" w:eastAsia="仿宋_GB2312" w:cs="仿宋_GB2312"/>
          <w:color w:val="000000"/>
          <w:spacing w:val="-19"/>
          <w:sz w:val="32"/>
          <w:szCs w:val="32"/>
          <w:lang w:eastAsia="zh-CN"/>
        </w:rPr>
        <w:t>三、项目绩效。</w:t>
      </w:r>
    </w:p>
    <w:p>
      <w:pPr>
        <w:pStyle w:val="11"/>
        <w:widowControl w:val="0"/>
        <w:spacing w:before="0" w:after="0" w:line="500" w:lineRule="exact"/>
        <w:ind w:firstLine="640" w:firstLineChars="200"/>
        <w:rPr>
          <w:rFonts w:ascii="仿宋_GB2312" w:hAnsi="仿宋_GB2312" w:eastAsia="仿宋_GB2312" w:cs="仿宋_GB2312"/>
          <w:color w:val="000000"/>
          <w:spacing w:val="-4"/>
          <w:sz w:val="32"/>
          <w:szCs w:val="32"/>
          <w:lang w:eastAsia="zh-CN"/>
        </w:rPr>
      </w:pPr>
      <w:r>
        <w:rPr>
          <w:rFonts w:hint="eastAsia" w:ascii="Times New Roman" w:hAnsi="Times New Roman" w:eastAsia="仿宋_GB2312"/>
          <w:sz w:val="32"/>
          <w:szCs w:val="32"/>
          <w:lang w:eastAsia="zh-CN"/>
        </w:rPr>
        <w:t>2023年，</w:t>
      </w:r>
      <w:r>
        <w:rPr>
          <w:rFonts w:hint="eastAsia" w:ascii="仿宋_GB2312" w:hAnsi="仿宋_GB2312" w:eastAsia="仿宋_GB2312" w:cs="仿宋_GB2312"/>
          <w:color w:val="000000"/>
          <w:spacing w:val="-4"/>
          <w:sz w:val="32"/>
          <w:szCs w:val="32"/>
          <w:lang w:eastAsia="zh-CN"/>
        </w:rPr>
        <w:t>如皋</w:t>
      </w:r>
      <w:r>
        <w:rPr>
          <w:rFonts w:ascii="仿宋_GB2312" w:hAnsi="仿宋_GB2312" w:eastAsia="仿宋_GB2312" w:cs="仿宋_GB2312"/>
          <w:color w:val="000000"/>
          <w:spacing w:val="-4"/>
          <w:sz w:val="32"/>
          <w:szCs w:val="32"/>
          <w:lang w:eastAsia="zh-CN"/>
        </w:rPr>
        <w:t>共征集企业技术需求318个，组织产学研活动13场</w:t>
      </w:r>
      <w:r>
        <w:rPr>
          <w:rFonts w:hint="eastAsia" w:ascii="仿宋_GB2312" w:hAnsi="仿宋_GB2312" w:eastAsia="仿宋_GB2312" w:cs="仿宋_GB2312"/>
          <w:color w:val="000000"/>
          <w:spacing w:val="-4"/>
          <w:sz w:val="32"/>
          <w:szCs w:val="32"/>
          <w:lang w:eastAsia="zh-CN"/>
        </w:rPr>
        <w:t>，产学研合作经费5万元以上项目231项，</w:t>
      </w:r>
      <w:r>
        <w:rPr>
          <w:rFonts w:ascii="仿宋_GB2312" w:hAnsi="仿宋_GB2312" w:eastAsia="仿宋_GB2312" w:cs="仿宋_GB2312"/>
          <w:color w:val="000000"/>
          <w:spacing w:val="-4"/>
          <w:sz w:val="32"/>
          <w:szCs w:val="32"/>
          <w:lang w:eastAsia="zh-CN"/>
        </w:rPr>
        <w:t>合同金额</w:t>
      </w:r>
      <w:r>
        <w:rPr>
          <w:rFonts w:hint="eastAsia" w:ascii="仿宋_GB2312" w:hAnsi="仿宋_GB2312" w:eastAsia="仿宋_GB2312" w:cs="仿宋_GB2312"/>
          <w:color w:val="000000"/>
          <w:spacing w:val="-4"/>
          <w:sz w:val="32"/>
          <w:szCs w:val="32"/>
          <w:lang w:eastAsia="zh-CN"/>
        </w:rPr>
        <w:t>8180万元。</w:t>
      </w:r>
    </w:p>
    <w:p>
      <w:pPr>
        <w:pStyle w:val="6"/>
        <w:spacing w:beforeAutospacing="0" w:afterAutospacing="0" w:line="500" w:lineRule="exact"/>
        <w:ind w:firstLine="624" w:firstLineChars="200"/>
        <w:jc w:val="both"/>
        <w:rPr>
          <w:rFonts w:ascii="仿宋_GB2312" w:hAnsi="仿宋_GB2312" w:eastAsia="仿宋_GB2312" w:cs="仿宋_GB2312"/>
          <w:b w:val="0"/>
          <w:color w:val="000000"/>
          <w:spacing w:val="-4"/>
          <w:sz w:val="32"/>
          <w:szCs w:val="32"/>
        </w:rPr>
      </w:pPr>
      <w:r>
        <w:rPr>
          <w:rFonts w:hint="eastAsia" w:ascii="仿宋_GB2312" w:hAnsi="仿宋_GB2312" w:eastAsia="仿宋_GB2312" w:cs="仿宋_GB2312"/>
          <w:b w:val="0"/>
          <w:color w:val="000000"/>
          <w:spacing w:val="-4"/>
          <w:sz w:val="32"/>
          <w:szCs w:val="32"/>
        </w:rPr>
        <w:t>1.校企对接活动形式多样。今年来，我市积极推进校企合作，共征集企业技术需求318个，共组织产学研活动13场，先后邀请吉林大学、同济大学、上海大学等高校来如，组织企业参加“武汉行”、“郑州行”、“第二届江苏产学研合作对接大会”等产学研活动，全面提升校企合作的精准性和成功率。科技人才洽谈会筹备工作有序推进，</w:t>
      </w:r>
      <w:r>
        <w:rPr>
          <w:rFonts w:ascii="仿宋_GB2312" w:hAnsi="仿宋_GB2312" w:eastAsia="仿宋_GB2312" w:cs="仿宋_GB2312"/>
          <w:b w:val="0"/>
          <w:color w:val="000000"/>
          <w:spacing w:val="-4"/>
          <w:sz w:val="32"/>
          <w:szCs w:val="32"/>
        </w:rPr>
        <w:t>先后召开科技人才洽谈会筹备会议</w:t>
      </w:r>
      <w:r>
        <w:rPr>
          <w:rFonts w:hint="eastAsia" w:ascii="仿宋_GB2312" w:hAnsi="仿宋_GB2312" w:eastAsia="仿宋_GB2312" w:cs="仿宋_GB2312"/>
          <w:b w:val="0"/>
          <w:color w:val="000000"/>
          <w:spacing w:val="-4"/>
          <w:sz w:val="32"/>
          <w:szCs w:val="32"/>
        </w:rPr>
        <w:t>5</w:t>
      </w:r>
      <w:r>
        <w:rPr>
          <w:rFonts w:ascii="仿宋_GB2312" w:hAnsi="仿宋_GB2312" w:eastAsia="仿宋_GB2312" w:cs="仿宋_GB2312"/>
          <w:b w:val="0"/>
          <w:color w:val="000000"/>
          <w:spacing w:val="-4"/>
          <w:sz w:val="32"/>
          <w:szCs w:val="32"/>
        </w:rPr>
        <w:t>次，</w:t>
      </w:r>
      <w:r>
        <w:rPr>
          <w:rFonts w:hint="eastAsia" w:ascii="仿宋_GB2312" w:hAnsi="仿宋_GB2312" w:eastAsia="仿宋_GB2312" w:cs="仿宋_GB2312"/>
          <w:b w:val="0"/>
          <w:color w:val="000000"/>
          <w:spacing w:val="-4"/>
          <w:sz w:val="32"/>
          <w:szCs w:val="32"/>
        </w:rPr>
        <w:t>下发了洽谈会工作方案，</w:t>
      </w:r>
      <w:r>
        <w:rPr>
          <w:rFonts w:ascii="仿宋_GB2312" w:hAnsi="仿宋_GB2312" w:eastAsia="仿宋_GB2312" w:cs="仿宋_GB2312"/>
          <w:b w:val="0"/>
          <w:color w:val="000000"/>
          <w:spacing w:val="-4"/>
          <w:sz w:val="32"/>
          <w:szCs w:val="32"/>
        </w:rPr>
        <w:t>搭建了开幕式+</w:t>
      </w:r>
      <w:r>
        <w:rPr>
          <w:rFonts w:hint="eastAsia" w:ascii="仿宋_GB2312" w:hAnsi="仿宋_GB2312" w:eastAsia="仿宋_GB2312" w:cs="仿宋_GB2312"/>
          <w:b w:val="0"/>
          <w:color w:val="000000"/>
          <w:spacing w:val="-4"/>
          <w:sz w:val="32"/>
          <w:szCs w:val="32"/>
        </w:rPr>
        <w:t>9</w:t>
      </w:r>
      <w:r>
        <w:rPr>
          <w:rFonts w:ascii="仿宋_GB2312" w:hAnsi="仿宋_GB2312" w:eastAsia="仿宋_GB2312" w:cs="仿宋_GB2312"/>
          <w:b w:val="0"/>
          <w:color w:val="000000"/>
          <w:spacing w:val="-4"/>
          <w:sz w:val="32"/>
          <w:szCs w:val="32"/>
        </w:rPr>
        <w:t>个子活动的活动框架，就具体的活动内容进行了逐一细化，明确了牵头领导和责任主体，并已召开了两次科技人才洽谈会组委会会议。</w:t>
      </w:r>
    </w:p>
    <w:p>
      <w:pPr>
        <w:pStyle w:val="6"/>
        <w:spacing w:beforeAutospacing="0" w:afterAutospacing="0" w:line="500" w:lineRule="exact"/>
        <w:ind w:firstLine="624" w:firstLineChars="200"/>
        <w:jc w:val="both"/>
        <w:rPr>
          <w:rFonts w:ascii="仿宋_GB2312" w:hAnsi="仿宋_GB2312" w:eastAsia="仿宋_GB2312" w:cs="仿宋_GB2312"/>
          <w:b w:val="0"/>
          <w:color w:val="000000"/>
          <w:spacing w:val="-4"/>
          <w:sz w:val="32"/>
          <w:szCs w:val="32"/>
        </w:rPr>
      </w:pPr>
      <w:r>
        <w:rPr>
          <w:rFonts w:hint="eastAsia" w:ascii="仿宋_GB2312" w:hAnsi="仿宋_GB2312" w:eastAsia="仿宋_GB2312" w:cs="仿宋_GB2312"/>
          <w:b w:val="0"/>
          <w:color w:val="000000"/>
          <w:spacing w:val="-4"/>
          <w:sz w:val="32"/>
          <w:szCs w:val="32"/>
        </w:rPr>
        <w:t>2.创新平台建设稳步推进。今年坚持把培育、发展和提升科技创新平台作为实施创新驱动发展战略的重要抓手，</w:t>
      </w:r>
      <w:r>
        <w:rPr>
          <w:rFonts w:ascii="仿宋_GB2312" w:hAnsi="仿宋_GB2312" w:eastAsia="仿宋_GB2312" w:cs="仿宋_GB2312"/>
          <w:b w:val="0"/>
          <w:color w:val="000000"/>
          <w:spacing w:val="-4"/>
          <w:sz w:val="32"/>
          <w:szCs w:val="32"/>
        </w:rPr>
        <w:t>集中精力推动平台在打造“国”、“省”字号平台上提档升级。</w:t>
      </w:r>
      <w:r>
        <w:rPr>
          <w:rFonts w:hint="eastAsia" w:ascii="仿宋_GB2312" w:hAnsi="仿宋_GB2312" w:eastAsia="仿宋_GB2312" w:cs="仿宋_GB2312"/>
          <w:b w:val="0"/>
          <w:color w:val="000000"/>
          <w:spacing w:val="-4"/>
          <w:sz w:val="32"/>
          <w:szCs w:val="32"/>
        </w:rPr>
        <w:t>一是推进新型研发机构建设。科技局与相关镇区、企业，围绕省列统新型研发机构要求，列出推进清单，加强指导，逐个达标。目前正在加快推进斯密特森与中科院长春光机所共建的长光星辰科技、江苏汤臣与北方车辆研究所共建的北方汤臣传动科技等新型研发机构。二是提升企业研发机构质态。重点培育运行质态较好的南通市工程技术研究中心升级为省级工程技术研究中心，今年宏茂锻压、更美科技、</w:t>
      </w:r>
      <w:r>
        <w:rPr>
          <w:rFonts w:ascii="仿宋_GB2312" w:hAnsi="仿宋_GB2312" w:eastAsia="仿宋_GB2312" w:cs="仿宋_GB2312"/>
          <w:b w:val="0"/>
          <w:color w:val="000000"/>
          <w:spacing w:val="-4"/>
          <w:sz w:val="32"/>
          <w:szCs w:val="32"/>
        </w:rPr>
        <w:t>奕隆机电</w:t>
      </w:r>
      <w:r>
        <w:rPr>
          <w:rFonts w:hint="eastAsia" w:ascii="仿宋_GB2312" w:hAnsi="仿宋_GB2312" w:eastAsia="仿宋_GB2312" w:cs="仿宋_GB2312"/>
          <w:b w:val="0"/>
          <w:color w:val="000000"/>
          <w:spacing w:val="-4"/>
          <w:sz w:val="32"/>
          <w:szCs w:val="32"/>
        </w:rPr>
        <w:t>、凯迅达传动4家企业获得省工程技术研究中心立项。新瑞药业、力星钢球分别获得省研发机构创新大赛生物医药组、短视频一等奖，中铁山桥、汤臣汽配、力星钢球获得智能制造组二等奖，获奖数量取得历史性突破。三是对已建工程技术研究中心，实行绩效管理。2023年，力星钢球、汤臣汽车、双钱集团等20家企业接受了省科技厅的工程技术研究中心绩效考核，合格率95%，其中力星钢球、星球石墨、斯密特森等7家单位获得绩效评估优秀，有力地支撑了企业高质量发展。同时出台《2023年企业工程技术研究中心绩效评估办法》，并列入对镇区的科技创新考核，让企业明确创新发展的重点和方向，确保企业研发机构良性运转。</w:t>
      </w:r>
    </w:p>
    <w:p>
      <w:pPr>
        <w:spacing w:line="500" w:lineRule="exact"/>
        <w:ind w:firstLine="624" w:firstLineChars="200"/>
        <w:rPr>
          <w:rFonts w:ascii="仿宋_GB2312" w:hAnsi="仿宋_GB2312" w:eastAsia="仿宋_GB2312"/>
          <w:b w:val="0"/>
          <w:color w:val="000000"/>
          <w:spacing w:val="-4"/>
          <w:sz w:val="32"/>
          <w:szCs w:val="32"/>
        </w:rPr>
      </w:pPr>
      <w:r>
        <w:rPr>
          <w:rFonts w:hint="eastAsia" w:ascii="仿宋_GB2312" w:hAnsi="仿宋_GB2312" w:eastAsia="仿宋_GB2312"/>
          <w:b w:val="0"/>
          <w:color w:val="000000"/>
          <w:spacing w:val="-4"/>
          <w:sz w:val="32"/>
          <w:szCs w:val="32"/>
        </w:rPr>
        <w:t>3.技术合同登记常抓不懈。</w:t>
      </w:r>
      <w:r>
        <w:rPr>
          <w:rFonts w:ascii="仿宋_GB2312" w:hAnsi="仿宋_GB2312" w:eastAsia="仿宋_GB2312"/>
          <w:b w:val="0"/>
          <w:color w:val="000000"/>
          <w:spacing w:val="-4"/>
          <w:sz w:val="32"/>
          <w:szCs w:val="32"/>
        </w:rPr>
        <w:t>技术合同成交额</w:t>
      </w:r>
      <w:r>
        <w:rPr>
          <w:rFonts w:hint="eastAsia" w:ascii="仿宋_GB2312" w:hAnsi="仿宋_GB2312" w:eastAsia="仿宋_GB2312"/>
          <w:b w:val="0"/>
          <w:color w:val="000000"/>
          <w:spacing w:val="-4"/>
          <w:sz w:val="32"/>
          <w:szCs w:val="32"/>
        </w:rPr>
        <w:t>是高质量发展考核指标，为了确保此项指标能在南通争先进位，在年初列入了科技创新奖励政策。成立了工作推进组，深入重点镇区、重点企业，认真筛排，挖掘存量，促进增量。邀请南通科技局及产业研究院专家到各镇（区）举办技术合同登记业务专场培训。同时培育了一支技术经理人服务队伍进一步服务企业，促成了技术合同登记，加快了科技成果转化，促进了科技政策落地生根。全市上下统筹协调，采用日报推进工作机制，加强对企业的业务指导，加大与上级审核部门的沟通，通过全市的共同努力，1-10月，</w:t>
      </w:r>
      <w:r>
        <w:rPr>
          <w:rFonts w:ascii="仿宋_GB2312" w:hAnsi="仿宋_GB2312" w:eastAsia="仿宋_GB2312"/>
          <w:b w:val="0"/>
          <w:color w:val="000000"/>
          <w:spacing w:val="-4"/>
          <w:sz w:val="32"/>
          <w:szCs w:val="32"/>
        </w:rPr>
        <w:t>完成技术合同输出登记1156项，成交额</w:t>
      </w:r>
      <w:r>
        <w:rPr>
          <w:rFonts w:hint="eastAsia" w:ascii="仿宋_GB2312" w:hAnsi="仿宋_GB2312" w:eastAsia="仿宋_GB2312"/>
          <w:b w:val="0"/>
          <w:color w:val="000000"/>
          <w:spacing w:val="-4"/>
          <w:sz w:val="32"/>
          <w:szCs w:val="32"/>
        </w:rPr>
        <w:t>66.76</w:t>
      </w:r>
      <w:r>
        <w:rPr>
          <w:rFonts w:ascii="仿宋_GB2312" w:hAnsi="仿宋_GB2312" w:eastAsia="仿宋_GB2312"/>
          <w:b w:val="0"/>
          <w:color w:val="000000"/>
          <w:spacing w:val="-4"/>
          <w:sz w:val="32"/>
          <w:szCs w:val="32"/>
        </w:rPr>
        <w:t>亿元，</w:t>
      </w:r>
      <w:r>
        <w:rPr>
          <w:rFonts w:hint="eastAsia" w:ascii="仿宋_GB2312" w:hAnsi="仿宋_GB2312" w:eastAsia="仿宋_GB2312"/>
          <w:b w:val="0"/>
          <w:color w:val="000000"/>
          <w:spacing w:val="-4"/>
          <w:sz w:val="32"/>
          <w:szCs w:val="32"/>
        </w:rPr>
        <w:t>总量居南通前列。</w:t>
      </w:r>
    </w:p>
    <w:p>
      <w:pPr>
        <w:pStyle w:val="11"/>
        <w:widowControl w:val="0"/>
        <w:spacing w:before="0" w:after="0" w:line="520" w:lineRule="exact"/>
        <w:ind w:firstLine="624" w:firstLineChars="200"/>
        <w:rPr>
          <w:rFonts w:hint="eastAsia"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4.科技术服务业工作难中求进。</w:t>
      </w:r>
      <w:r>
        <w:rPr>
          <w:rFonts w:ascii="仿宋_GB2312" w:hAnsi="仿宋_GB2312" w:eastAsia="仿宋_GB2312" w:cs="仿宋_GB2312"/>
          <w:color w:val="000000"/>
          <w:spacing w:val="-4"/>
          <w:sz w:val="32"/>
          <w:szCs w:val="32"/>
          <w:lang w:eastAsia="zh-CN"/>
        </w:rPr>
        <w:t>鼓励</w:t>
      </w:r>
      <w:r>
        <w:rPr>
          <w:rFonts w:hint="eastAsia" w:ascii="仿宋_GB2312" w:hAnsi="仿宋_GB2312" w:eastAsia="仿宋_GB2312" w:cs="仿宋_GB2312"/>
          <w:color w:val="000000"/>
          <w:spacing w:val="-4"/>
          <w:sz w:val="32"/>
          <w:szCs w:val="32"/>
          <w:lang w:eastAsia="zh-CN"/>
        </w:rPr>
        <w:t>在库</w:t>
      </w:r>
      <w:r>
        <w:rPr>
          <w:rFonts w:ascii="仿宋_GB2312" w:hAnsi="仿宋_GB2312" w:eastAsia="仿宋_GB2312" w:cs="仿宋_GB2312"/>
          <w:color w:val="000000"/>
          <w:spacing w:val="-4"/>
          <w:sz w:val="32"/>
          <w:szCs w:val="32"/>
          <w:lang w:eastAsia="zh-CN"/>
        </w:rPr>
        <w:t>企业做大做强，引导其在技术研发、技术服务与推广、检验检测等业务上求突破，持续推进全市科技服务业整体质态不断优化。</w:t>
      </w:r>
      <w:r>
        <w:rPr>
          <w:rFonts w:hint="eastAsia" w:ascii="仿宋_GB2312" w:hAnsi="仿宋_GB2312" w:eastAsia="仿宋_GB2312" w:cs="仿宋_GB2312"/>
          <w:color w:val="000000"/>
          <w:spacing w:val="-4"/>
          <w:sz w:val="32"/>
          <w:szCs w:val="32"/>
          <w:lang w:eastAsia="zh-CN"/>
        </w:rPr>
        <w:t>在走访重点企业过程中，针对企业技术难题，帮助对接高校科研院所共同解决；针对企业业务偏少的难题，帮助联系市内有需求的企业，实现有效对接，拓展业务范围；邀请税务及财务专家，帮助企业破解在发展过程中遇到的财务核算、税赋成本等难题，促进企业做大做强，提升科技服务业整体质态。定期与各镇区召开科技服务业推进例会，解决发展过程中存在的问题，牢牢把控新增企业入库、数据填报、统计核查等关键时间节点。与各镇区建立数据填报预申报制度，指导企业提高统计数据质量，完善各类填报内容及佐证材料，避免出现畸高畸低以及数据反复修改现象，保持单个企业数据稳定增长及统计数据的科学性、合理性。指导各镇区靠前服务，帮助企业分析原因并提出解决办法，确保数据同比、环比在合理范围之内，完成数据有效上报。</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四、存在问题。</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一是企业的自主研发能力薄弱面对困境成果的二次转化不够；</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二是</w:t>
      </w:r>
      <w:r>
        <w:rPr>
          <w:rFonts w:ascii="仿宋_GB2312" w:hAnsi="仿宋_GB2312" w:eastAsia="仿宋_GB2312" w:cs="仿宋_GB2312"/>
          <w:color w:val="000000"/>
          <w:spacing w:val="-4"/>
          <w:sz w:val="32"/>
          <w:szCs w:val="32"/>
          <w:lang w:eastAsia="zh-CN"/>
        </w:rPr>
        <w:t>不合理的利益分配机制</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五、有关建议。</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一是完善政策法规体系，创造良好的产学研合作软环境。</w:t>
      </w:r>
    </w:p>
    <w:p>
      <w:pPr>
        <w:pStyle w:val="11"/>
        <w:widowControl w:val="0"/>
        <w:spacing w:before="0" w:after="0" w:line="520" w:lineRule="exact"/>
        <w:ind w:firstLine="624" w:firstLineChars="200"/>
        <w:rPr>
          <w:rFonts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二是明确定位，加快建设产学研紧密结合运行机制。</w:t>
      </w:r>
    </w:p>
    <w:p>
      <w:pPr>
        <w:pStyle w:val="11"/>
        <w:widowControl w:val="0"/>
        <w:spacing w:before="0" w:after="0" w:line="520" w:lineRule="exact"/>
        <w:ind w:firstLine="628" w:firstLineChars="200"/>
        <w:rPr>
          <w:rFonts w:ascii="仿宋_GB2312" w:hAnsi="仿宋_GB2312" w:eastAsia="仿宋_GB2312" w:cs="仿宋_GB2312"/>
          <w:color w:val="000000"/>
          <w:spacing w:val="-3"/>
          <w:sz w:val="32"/>
          <w:szCs w:val="32"/>
          <w:lang w:eastAsia="zh-CN"/>
        </w:rPr>
      </w:pPr>
      <w:r>
        <w:rPr>
          <w:rFonts w:hint="eastAsia" w:ascii="仿宋_GB2312" w:hAnsi="仿宋_GB2312" w:eastAsia="仿宋_GB2312" w:cs="仿宋_GB2312"/>
          <w:color w:val="000000"/>
          <w:spacing w:val="-3"/>
          <w:sz w:val="32"/>
          <w:szCs w:val="32"/>
          <w:lang w:eastAsia="zh-CN"/>
        </w:rPr>
        <w:t>六、相关信息。</w:t>
      </w:r>
    </w:p>
    <w:p>
      <w:pPr>
        <w:pStyle w:val="11"/>
        <w:widowControl w:val="0"/>
        <w:spacing w:before="0" w:after="0" w:line="520" w:lineRule="exact"/>
        <w:ind w:firstLine="624" w:firstLineChars="200"/>
        <w:rPr>
          <w:rFonts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pacing w:val="-4"/>
          <w:sz w:val="32"/>
          <w:szCs w:val="32"/>
          <w:lang w:eastAsia="zh-CN"/>
        </w:rPr>
        <w:t>项目支出绩效自评价评分表以评</w:t>
      </w:r>
      <w:r>
        <w:rPr>
          <w:rFonts w:hint="eastAsia" w:ascii="仿宋_GB2312" w:hAnsi="仿宋_GB2312" w:eastAsia="仿宋_GB2312" w:cs="仿宋_GB2312"/>
          <w:color w:val="000000"/>
          <w:sz w:val="32"/>
          <w:szCs w:val="32"/>
          <w:lang w:eastAsia="zh-CN"/>
        </w:rPr>
        <w:t>价报告附件的形式反映。</w:t>
      </w:r>
    </w:p>
    <w:p/>
    <w:p/>
    <w:p>
      <w:pPr>
        <w:rPr>
          <w:rFonts w:hint="eastAsia"/>
        </w:rPr>
      </w:pPr>
    </w:p>
    <w:p>
      <w:pPr>
        <w:pStyle w:val="9"/>
        <w:widowControl w:val="0"/>
        <w:spacing w:beforeLines="100" w:afterLines="100" w:line="52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36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360" w:lineRule="exact"/>
        <w:jc w:val="left"/>
        <w:rPr>
          <w:rFonts w:ascii="APQONC+å®ä½" w:hAnsi="APQONC+å®ä½" w:cs="APQONC+å®ä½"/>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挂职人员工作经费</w:t>
      </w:r>
    </w:p>
    <w:p>
      <w:pPr>
        <w:pStyle w:val="10"/>
        <w:widowControl w:val="0"/>
        <w:spacing w:before="0" w:after="0" w:line="32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40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hint="eastAsia" w:ascii="Times New Roman" w:cs="Times New Roman" w:hAnsiTheme="majorEastAsia" w:eastAsiaTheme="majorEastAsia"/>
          <w:color w:val="000000"/>
          <w:sz w:val="21"/>
          <w:lang w:eastAsia="zh-CN"/>
        </w:rPr>
        <w:t>《市委组织部关于转发〈关于机关驻村（社区）“第一书记”任职期间有关经费保障的通知〉的通知》（皋组发〔2012〕51号）、《中共南通纪委、南通组织部、南通人社局 南通财政局〈市委组织部关于转发〈关于机关驻村（社区）“第一书记”任职期间有关经费保障的通知〉的通知》（通委组发〔2012〕26号）、市科技局职能。</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cs="Times New Roman" w:hAnsiTheme="majorEastAsia" w:eastAsiaTheme="majorEastAsia"/>
          <w:color w:val="000000"/>
          <w:sz w:val="21"/>
          <w:lang w:eastAsia="zh-CN"/>
        </w:rPr>
        <w:t>资金分配使用：如皋市科学技术局</w:t>
      </w:r>
      <w:r>
        <w:rPr>
          <w:rFonts w:ascii="Times New Roman" w:hAnsi="Times New Roman" w:cs="Times New Roman" w:eastAsiaTheme="majorEastAsia"/>
          <w:color w:val="000000"/>
          <w:sz w:val="21"/>
          <w:lang w:eastAsia="zh-CN"/>
        </w:rPr>
        <w:t>202</w:t>
      </w:r>
      <w:r>
        <w:rPr>
          <w:rFonts w:hint="eastAsia" w:ascii="Times New Roman" w:hAnsi="Times New Roman" w:cs="Times New Roman" w:eastAsiaTheme="majorEastAsia"/>
          <w:color w:val="000000"/>
          <w:sz w:val="21"/>
          <w:lang w:eastAsia="zh-CN"/>
        </w:rPr>
        <w:t>3</w:t>
      </w:r>
      <w:r>
        <w:rPr>
          <w:rFonts w:ascii="Times New Roman" w:cs="Times New Roman" w:hAnsiTheme="majorEastAsia" w:eastAsiaTheme="majorEastAsia"/>
          <w:color w:val="000000"/>
          <w:sz w:val="21"/>
          <w:lang w:eastAsia="zh-CN"/>
        </w:rPr>
        <w:t>年</w:t>
      </w:r>
      <w:r>
        <w:rPr>
          <w:rFonts w:hint="eastAsia" w:ascii="Times New Roman" w:cs="Times New Roman" w:hAnsiTheme="majorEastAsia" w:eastAsiaTheme="majorEastAsia"/>
          <w:color w:val="000000"/>
          <w:sz w:val="21"/>
          <w:lang w:eastAsia="zh-CN"/>
        </w:rPr>
        <w:t>挂职人员工作经费</w:t>
      </w:r>
      <w:r>
        <w:rPr>
          <w:rFonts w:ascii="Times New Roman" w:cs="Times New Roman" w:hAnsiTheme="majorEastAsia" w:eastAsiaTheme="majorEastAsia"/>
          <w:color w:val="000000"/>
          <w:sz w:val="21"/>
          <w:lang w:eastAsia="zh-CN"/>
        </w:rPr>
        <w:t>年初预算</w:t>
      </w:r>
      <w:r>
        <w:rPr>
          <w:rFonts w:hint="eastAsia" w:ascii="Times New Roman" w:hAnsi="Times New Roman" w:cs="Times New Roman" w:eastAsiaTheme="majorEastAsia"/>
          <w:color w:val="000000"/>
          <w:sz w:val="21"/>
          <w:lang w:eastAsia="zh-CN"/>
        </w:rPr>
        <w:t>13.44</w:t>
      </w:r>
      <w:r>
        <w:rPr>
          <w:rFonts w:ascii="Times New Roman" w:cs="Times New Roman" w:hAnsiTheme="majorEastAsia" w:eastAsiaTheme="majorEastAsia"/>
          <w:color w:val="000000"/>
          <w:sz w:val="21"/>
          <w:lang w:eastAsia="zh-CN"/>
        </w:rPr>
        <w:t>万元，</w:t>
      </w:r>
      <w:r>
        <w:rPr>
          <w:rFonts w:hint="eastAsia" w:ascii="Times New Roman" w:cs="Times New Roman" w:hAnsiTheme="majorEastAsia" w:eastAsiaTheme="majorEastAsia"/>
          <w:color w:val="000000"/>
          <w:sz w:val="21"/>
          <w:lang w:eastAsia="zh-CN"/>
        </w:rPr>
        <w:t>用于挂职人员伙食补助、铜须补助；市外挂职人员房租、往返路费等支出。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项目实施情况：2023年派驻人员挂职驻村第一书记及北京火炬中心，进一步加强我市年轻干部实践锻炼工作，有效保障挂职干部工作和生活需求；扎实推进我市机关驻村（社区）“第一书记”工作，确保“第一书记”下得去、呆得住、干得好，不给基层增加负担，真正发挥“第一书记”服务基层、服务群众的作用。</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二、评价情况（评价思路、方式、做法，以及评价指标体系设置情况和评价结论等）</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 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（四）自我评价情况。项目达到了预期的目标，资金使用有效。评价得分97分，评价等次为“优”。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三、项目绩效（通过绩效评价发现、总结的项目绩效）</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根据组织部安排，本单位本年度安排一名同志在国家科技部火炬中心高企处挂职，安排两名同志任驻村第一书记，需要负担挂职人员每月伙食补贴和通讯补贴、市外挂职人员每月往返费用及房屋租赁费用</w:t>
      </w:r>
      <w:r>
        <w:rPr>
          <w:rFonts w:ascii="Times New Roman" w:cs="Times New Roman" w:hAnsiTheme="majorEastAsia"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（二）项目资金使用情况：项目预期投入13.44万元，实际投入13.44万元，实际支出 2.71万元，财政预算完成率20.16%，项目资金主要用于挂职人员补贴、房租、往返车费、水电煤等费用。</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四、存在问题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国家科技部火炬中心挂职人员于2月份结束挂职，后续无需支付该同志的各项挂职支出。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五、</w:t>
      </w:r>
      <w:r>
        <w:rPr>
          <w:rFonts w:ascii="Times New Roman" w:cs="Times New Roman" w:hAnsiTheme="majorEastAsia" w:eastAsiaTheme="majorEastAsia"/>
          <w:color w:val="000000"/>
          <w:sz w:val="21"/>
          <w:lang w:eastAsia="zh-CN"/>
        </w:rPr>
        <w:t>有关建议</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加强资金监管力度，合理安排资金分配。</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200"/>
        <w:jc w:val="left"/>
        <w:rPr>
          <w:rFonts w:ascii="Times New Roman" w:cs="Times New Roman" w:hAnsiTheme="majorEastAsia" w:eastAsiaTheme="majorEastAsia"/>
          <w:color w:val="000000"/>
          <w:sz w:val="21"/>
          <w:lang w:eastAsia="zh-CN"/>
        </w:rPr>
      </w:pP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200"/>
        <w:jc w:val="left"/>
        <w:rPr>
          <w:rFonts w:ascii="Times New Roman" w:cs="Times New Roman" w:hAnsiTheme="majorEastAsia" w:eastAsiaTheme="majorEastAsia"/>
          <w:color w:val="000000"/>
          <w:sz w:val="21"/>
          <w:lang w:eastAsia="zh-CN"/>
        </w:rPr>
      </w:pPr>
    </w:p>
    <w:p>
      <w:pPr>
        <w:pStyle w:val="10"/>
        <w:widowControl w:val="0"/>
        <w:pBdr>
          <w:top w:val="single" w:color="auto" w:sz="4" w:space="0"/>
          <w:left w:val="single" w:color="auto" w:sz="4" w:space="0"/>
          <w:bottom w:val="single" w:color="auto" w:sz="4" w:space="0"/>
          <w:right w:val="single" w:color="auto" w:sz="4" w:space="0"/>
        </w:pBdr>
        <w:spacing w:before="0" w:after="0" w:line="560" w:lineRule="exact"/>
        <w:jc w:val="left"/>
        <w:rPr>
          <w:rFonts w:ascii="APQONC+å®ä½" w:hAnsi="APQONC+å®ä½" w:cs="APQONC+å®ä½"/>
          <w:color w:val="000000"/>
          <w:sz w:val="21"/>
          <w:lang w:eastAsia="zh-CN"/>
        </w:rPr>
        <w:sectPr>
          <w:pgSz w:w="11900" w:h="16820"/>
          <w:pgMar w:top="1609" w:right="1474" w:bottom="1191" w:left="1644" w:header="720" w:footer="720" w:gutter="0"/>
          <w:pgNumType w:fmt="numberInDash" w:start="1"/>
          <w:cols w:space="720" w:num="1"/>
          <w:docGrid w:linePitch="1" w:charSpace="0"/>
        </w:sectPr>
      </w:pP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360" w:lineRule="exact"/>
        <w:jc w:val="left"/>
        <w:rPr>
          <w:rFonts w:ascii="APQONC+å®ä½" w:hAnsi="APQONC+å®ä½" w:cs="APQONC+å®ä½"/>
          <w:color w:val="000000"/>
          <w:sz w:val="18"/>
          <w:u w:val="single"/>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挂职人员工作经费</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20.16%</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0</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挂职人员数量</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2人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2人</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挂职干部工作和生活需求</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保障</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保障</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ascii="宋体" w:hAnsi="宋体" w:eastAsia="宋体" w:cs="宋体"/>
                <w:b w:val="0"/>
                <w:color w:val="000000"/>
                <w:sz w:val="20"/>
                <w:szCs w:val="20"/>
              </w:rPr>
              <w:t>挂职人员经费保障时效</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ascii="宋体" w:hAnsi="宋体" w:eastAsia="宋体" w:cs="宋体"/>
                <w:b w:val="0"/>
                <w:color w:val="000000"/>
                <w:sz w:val="20"/>
                <w:szCs w:val="20"/>
              </w:rPr>
              <w:t>按时</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ascii="宋体" w:hAnsi="宋体" w:eastAsia="宋体" w:cs="宋体"/>
                <w:b w:val="0"/>
                <w:color w:val="000000"/>
                <w:sz w:val="20"/>
                <w:szCs w:val="20"/>
              </w:rPr>
              <w:t>按时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挂职干部经费保障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按文件</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按文件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挂职人员考评</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称职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称职</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完成年初目标（10分）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村（社区）工作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扎实推进</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扎实推进</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完成年初目标（10分）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挂职人员积极性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挂职人员积极性高（4分）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挂职单位满意度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满意度达 95%以上（8分），低于 95%按比例扣分</w:t>
            </w:r>
          </w:p>
        </w:tc>
      </w:tr>
      <w:tr>
        <w:tblPrEx>
          <w:tblCellMar>
            <w:top w:w="0" w:type="dxa"/>
            <w:left w:w="108" w:type="dxa"/>
            <w:bottom w:w="0" w:type="dxa"/>
            <w:right w:w="108" w:type="dxa"/>
          </w:tblCellMar>
        </w:tblPrEx>
        <w:trPr>
          <w:trHeight w:val="491"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97</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40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0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32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320" w:lineRule="exact"/>
        <w:jc w:val="left"/>
        <w:rPr>
          <w:rFonts w:ascii="APQONC+å®ä½" w:hAnsi="APQONC+å®ä½" w:cs="APQONC+å®ä½"/>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APQONC+å®ä½" w:hAnsi="APQONC+å®ä½" w:cs="APQONC+å®ä½"/>
          <w:color w:val="000000"/>
          <w:sz w:val="18"/>
          <w:u w:val="single"/>
          <w:lang w:eastAsia="zh-CN"/>
        </w:rPr>
        <w:t>科技业务培训、生命健康产业链培训</w:t>
      </w:r>
    </w:p>
    <w:p>
      <w:pPr>
        <w:pStyle w:val="10"/>
        <w:widowControl w:val="0"/>
        <w:spacing w:before="0" w:after="0" w:line="32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40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ascii="Calibri" w:hAnsi="Calibri" w:eastAsia="宋体" w:cs="Times New Roman"/>
          <w:szCs w:val="32"/>
          <w:lang w:eastAsia="zh-CN"/>
        </w:rPr>
        <w:t>《市委办公室  市政府办公室</w:t>
      </w:r>
      <w:r>
        <w:rPr>
          <w:rFonts w:hint="eastAsia" w:ascii="Calibri" w:hAnsi="Calibri" w:eastAsia="宋体" w:cs="Times New Roman"/>
          <w:szCs w:val="32"/>
          <w:lang w:eastAsia="zh-CN"/>
        </w:rPr>
        <w:t>关于</w:t>
      </w:r>
      <w:r>
        <w:rPr>
          <w:rFonts w:ascii="Calibri" w:hAnsi="Calibri" w:eastAsia="宋体" w:cs="Times New Roman"/>
          <w:szCs w:val="32"/>
          <w:lang w:eastAsia="zh-CN"/>
        </w:rPr>
        <w:t>印发〈加快建设科技强市 推动创新型示范县市高质量发展的激励意见〉的通知》（皋办〔202</w:t>
      </w:r>
      <w:r>
        <w:rPr>
          <w:rFonts w:hint="eastAsia" w:ascii="Calibri" w:hAnsi="Calibri" w:eastAsia="宋体" w:cs="Times New Roman"/>
          <w:szCs w:val="32"/>
          <w:lang w:eastAsia="zh-CN"/>
        </w:rPr>
        <w:t>2</w:t>
      </w:r>
      <w:r>
        <w:rPr>
          <w:rFonts w:ascii="Calibri" w:hAnsi="Calibri" w:eastAsia="宋体" w:cs="Times New Roman"/>
          <w:szCs w:val="32"/>
          <w:lang w:eastAsia="zh-CN"/>
        </w:rPr>
        <w:t>〕</w:t>
      </w:r>
      <w:r>
        <w:rPr>
          <w:rFonts w:hint="eastAsia" w:ascii="Calibri" w:hAnsi="Calibri" w:eastAsia="宋体" w:cs="Times New Roman"/>
          <w:szCs w:val="32"/>
          <w:lang w:eastAsia="zh-CN"/>
        </w:rPr>
        <w:t>44</w:t>
      </w:r>
      <w:r>
        <w:rPr>
          <w:rFonts w:ascii="Calibri" w:hAnsi="Calibri" w:eastAsia="宋体" w:cs="Times New Roman"/>
          <w:szCs w:val="32"/>
          <w:lang w:eastAsia="zh-CN"/>
        </w:rPr>
        <w:t>号）</w:t>
      </w:r>
      <w:r>
        <w:rPr>
          <w:rFonts w:ascii="Times New Roman" w:cs="Times New Roman" w:hAnsiTheme="majorEastAsia" w:eastAsiaTheme="majorEastAsia"/>
          <w:color w:val="000000"/>
          <w:sz w:val="21"/>
          <w:lang w:eastAsia="zh-CN"/>
        </w:rPr>
        <w:t>、科技局职能</w:t>
      </w:r>
      <w:r>
        <w:rPr>
          <w:rFonts w:hint="eastAsia" w:ascii="Times New Roman" w:cs="Times New Roman" w:hAnsiTheme="majorEastAsia"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cs="Times New Roman" w:hAnsiTheme="majorEastAsia" w:eastAsiaTheme="majorEastAsia"/>
          <w:color w:val="000000"/>
          <w:sz w:val="21"/>
          <w:lang w:eastAsia="zh-CN"/>
        </w:rPr>
        <w:t>资金分配使用：如皋市科学技术局</w:t>
      </w:r>
      <w:r>
        <w:rPr>
          <w:rFonts w:ascii="Times New Roman" w:hAnsi="Times New Roman" w:cs="Times New Roman" w:eastAsiaTheme="majorEastAsia"/>
          <w:color w:val="000000"/>
          <w:sz w:val="21"/>
          <w:lang w:eastAsia="zh-CN"/>
        </w:rPr>
        <w:t>202</w:t>
      </w:r>
      <w:r>
        <w:rPr>
          <w:rFonts w:hint="eastAsia" w:ascii="Times New Roman" w:hAnsi="Times New Roman" w:cs="Times New Roman" w:eastAsiaTheme="majorEastAsia"/>
          <w:color w:val="000000"/>
          <w:sz w:val="21"/>
          <w:lang w:eastAsia="zh-CN"/>
        </w:rPr>
        <w:t>3</w:t>
      </w:r>
      <w:r>
        <w:rPr>
          <w:rFonts w:ascii="Times New Roman" w:cs="Times New Roman" w:hAnsiTheme="majorEastAsia" w:eastAsiaTheme="majorEastAsia"/>
          <w:color w:val="000000"/>
          <w:sz w:val="21"/>
          <w:lang w:eastAsia="zh-CN"/>
        </w:rPr>
        <w:t>年</w:t>
      </w:r>
      <w:r>
        <w:rPr>
          <w:rFonts w:hint="eastAsia" w:ascii="Times New Roman" w:cs="Times New Roman" w:hAnsiTheme="majorEastAsia" w:eastAsiaTheme="majorEastAsia"/>
          <w:color w:val="000000"/>
          <w:sz w:val="21"/>
          <w:lang w:eastAsia="zh-CN"/>
        </w:rPr>
        <w:t>科技业务培训、生命健康产业链培训</w:t>
      </w:r>
      <w:r>
        <w:rPr>
          <w:rFonts w:ascii="Times New Roman" w:cs="Times New Roman" w:hAnsiTheme="majorEastAsia" w:eastAsiaTheme="majorEastAsia"/>
          <w:color w:val="000000"/>
          <w:sz w:val="21"/>
          <w:lang w:eastAsia="zh-CN"/>
        </w:rPr>
        <w:t>项目年初预算</w:t>
      </w:r>
      <w:r>
        <w:rPr>
          <w:rFonts w:hint="eastAsia" w:ascii="Times New Roman" w:hAnsi="Times New Roman" w:cs="Times New Roman" w:eastAsiaTheme="majorEastAsia"/>
          <w:color w:val="000000"/>
          <w:sz w:val="21"/>
          <w:lang w:eastAsia="zh-CN"/>
        </w:rPr>
        <w:t>30</w:t>
      </w:r>
      <w:r>
        <w:rPr>
          <w:rFonts w:ascii="Times New Roman" w:cs="Times New Roman" w:hAnsiTheme="majorEastAsia" w:eastAsiaTheme="majorEastAsia"/>
          <w:color w:val="000000"/>
          <w:sz w:val="21"/>
          <w:lang w:eastAsia="zh-CN"/>
        </w:rPr>
        <w:t>万元，其中：委托业务费</w:t>
      </w:r>
      <w:r>
        <w:rPr>
          <w:rFonts w:hint="eastAsia" w:ascii="Times New Roman" w:hAnsi="Times New Roman" w:cs="Times New Roman" w:eastAsiaTheme="majorEastAsia"/>
          <w:color w:val="000000"/>
          <w:sz w:val="21"/>
          <w:lang w:eastAsia="zh-CN"/>
        </w:rPr>
        <w:t>30</w:t>
      </w:r>
      <w:r>
        <w:rPr>
          <w:rFonts w:ascii="Times New Roman" w:cs="Times New Roman" w:hAnsiTheme="majorEastAsia" w:eastAsiaTheme="majorEastAsia"/>
          <w:color w:val="000000"/>
          <w:sz w:val="21"/>
          <w:lang w:eastAsia="zh-CN"/>
        </w:rPr>
        <w:t>万元。</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项目实施情况：为了加强最新科技政策的落实，激发全市科技创新水平的提升。2022年，围绕项目建设管理、创新主体培育、校企对接合作、创新载体建设、科技金融政策等内容组织镇（区、街道）分管科技负责人、科技助理、部分科技型企业管理人员及机关全体工作人员开展科技专题培训。</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二、评价情况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（四）自我评价情况。项目达到了预期的目标，资金使用有效。评价得分100分，评价等次为“优”。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（一）绩效目标完成情况：通过科技创新培训，企业科技创新能力有所提升，科技工作者能力有所增强，</w:t>
      </w:r>
      <w:r>
        <w:rPr>
          <w:rFonts w:ascii="Times New Roman" w:cs="Times New Roman" w:hAnsiTheme="majorEastAsia" w:eastAsiaTheme="majorEastAsia"/>
          <w:color w:val="000000"/>
          <w:sz w:val="21"/>
          <w:lang w:eastAsia="zh-CN"/>
        </w:rPr>
        <w:t>高新技术企业培育取得了历史性突破，深入实施“高企倍增”计划，共组织推荐465家企业申报高企，认定</w:t>
      </w:r>
      <w:r>
        <w:rPr>
          <w:rFonts w:hint="eastAsia" w:ascii="Times New Roman" w:cs="Times New Roman" w:hAnsiTheme="majorEastAsia" w:eastAsiaTheme="majorEastAsia"/>
          <w:color w:val="000000"/>
          <w:sz w:val="21"/>
          <w:lang w:eastAsia="zh-CN"/>
        </w:rPr>
        <w:t>281</w:t>
      </w:r>
      <w:r>
        <w:rPr>
          <w:rFonts w:ascii="Times New Roman" w:cs="Times New Roman" w:hAnsiTheme="majorEastAsia" w:eastAsiaTheme="majorEastAsia"/>
          <w:color w:val="000000"/>
          <w:sz w:val="21"/>
          <w:lang w:eastAsia="zh-CN"/>
        </w:rPr>
        <w:t>家，</w:t>
      </w:r>
      <w:r>
        <w:rPr>
          <w:rFonts w:hint="eastAsia" w:ascii="Times New Roman" w:cs="Times New Roman" w:hAnsiTheme="majorEastAsia" w:eastAsiaTheme="majorEastAsia"/>
          <w:color w:val="000000"/>
          <w:sz w:val="21"/>
          <w:lang w:eastAsia="zh-CN"/>
        </w:rPr>
        <w:t>净增172家，总数达631家，</w:t>
      </w:r>
      <w:r>
        <w:rPr>
          <w:rFonts w:ascii="Times New Roman" w:cs="Times New Roman" w:hAnsiTheme="majorEastAsia" w:eastAsiaTheme="majorEastAsia"/>
          <w:color w:val="000000"/>
          <w:sz w:val="21"/>
          <w:lang w:eastAsia="zh-CN"/>
        </w:rPr>
        <w:t>提前两年完成“十四五”目标任务。组织推荐953家企业参加科技型中小企业备案，已备案入库935家。全市获认定独角兽企业1家（和府餐饮）、潜在独角兽企业2家（卓远半导体、奕隆机电）、瞪羚企业6家（世睿电力、迅镭激光、珂黎艾净化、南海水处理剂、佳谬电气、惠沣环保）。</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（二）项目资金使用情况：项目预期投入30 万元，实际投入30万元，实际支出30万元，财政预算完成率100%。 项目资金主要用于科技创新能力培训会务费、餐费、住宿费、专家费、会场及车辆租赁等费用。</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四、存在问题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无</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五、</w:t>
      </w:r>
      <w:r>
        <w:rPr>
          <w:rFonts w:ascii="Times New Roman" w:cs="Times New Roman" w:hAnsiTheme="majorEastAsia" w:eastAsiaTheme="majorEastAsia"/>
          <w:color w:val="000000"/>
          <w:sz w:val="21"/>
          <w:lang w:eastAsia="zh-CN"/>
        </w:rPr>
        <w:t>有关建议</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18" w:firstLineChars="190"/>
        <w:jc w:val="left"/>
        <w:rPr>
          <w:rFonts w:ascii="Times New Roman" w:cs="Times New Roman" w:hAnsiTheme="majorEastAsia" w:eastAsiaTheme="majorEastAsia"/>
          <w:color w:val="000000"/>
          <w:sz w:val="21"/>
          <w:lang w:eastAsia="zh-CN"/>
        </w:rPr>
      </w:pPr>
      <w:r>
        <w:rPr>
          <w:lang w:eastAsia="zh-CN"/>
        </w:rPr>
        <w:t>把握时间进度，及时督促提醒，提高上半年项目预算执行率。</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200"/>
        <w:jc w:val="left"/>
        <w:rPr>
          <w:rFonts w:ascii="Times New Roman" w:cs="Times New Roman" w:hAnsiTheme="majorEastAsia" w:eastAsiaTheme="majorEastAsia"/>
          <w:color w:val="000000"/>
          <w:sz w:val="21"/>
          <w:lang w:eastAsia="zh-CN"/>
        </w:rPr>
      </w:pPr>
    </w:p>
    <w:p>
      <w:pPr>
        <w:pStyle w:val="10"/>
        <w:widowControl w:val="0"/>
        <w:pBdr>
          <w:top w:val="single" w:color="auto" w:sz="4" w:space="0"/>
          <w:left w:val="single" w:color="auto" w:sz="4" w:space="0"/>
          <w:bottom w:val="single" w:color="auto" w:sz="4" w:space="0"/>
          <w:right w:val="single" w:color="auto" w:sz="4" w:space="0"/>
        </w:pBdr>
        <w:spacing w:before="0" w:after="0" w:line="560" w:lineRule="exact"/>
        <w:jc w:val="left"/>
        <w:rPr>
          <w:rFonts w:ascii="APQONC+å®ä½" w:hAnsi="APQONC+å®ä½" w:cs="APQONC+å®ä½"/>
          <w:color w:val="000000"/>
          <w:sz w:val="21"/>
          <w:lang w:eastAsia="zh-CN"/>
        </w:rPr>
        <w:sectPr>
          <w:pgSz w:w="11900" w:h="16820"/>
          <w:pgMar w:top="1609" w:right="1474" w:bottom="1191" w:left="1644" w:header="720" w:footer="720" w:gutter="0"/>
          <w:pgNumType w:fmt="numberInDash" w:start="1"/>
          <w:cols w:space="720" w:num="1"/>
          <w:docGrid w:linePitch="1" w:charSpace="0"/>
        </w:sectPr>
      </w:pP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320" w:lineRule="exact"/>
        <w:jc w:val="left"/>
        <w:rPr>
          <w:rFonts w:ascii="APQONC+å®ä½" w:hAnsi="APQONC+å®ä½" w:cs="APQONC+å®ä½"/>
          <w:color w:val="000000"/>
          <w:sz w:val="18"/>
          <w:u w:val="single"/>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APQONC+å®ä½" w:hAnsi="APQONC+å®ä½" w:cs="APQONC+å®ä½"/>
          <w:color w:val="000000"/>
          <w:sz w:val="18"/>
          <w:u w:val="single"/>
          <w:lang w:eastAsia="zh-CN"/>
        </w:rPr>
        <w:t>科技业务培训、生命健康产业链培训</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培训次数</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按序时进度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按序时进度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课程设置合理性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课程安排时长</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30万元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30万元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科技创新发展</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促进</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促进</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对科技创新促进（10分）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企业科技创新能力</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增强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增强</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企业科技创新能力提升（10分）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2"/>
                <w:szCs w:val="22"/>
              </w:rPr>
            </w:pPr>
            <w:r>
              <w:rPr>
                <w:rFonts w:hint="eastAsia" w:cs="宋体" w:asciiTheme="majorEastAsia" w:hAnsiTheme="majorEastAsia" w:eastAsiaTheme="majorEastAsia"/>
                <w:b w:val="0"/>
                <w:color w:val="000000"/>
                <w:sz w:val="16"/>
                <w:szCs w:val="16"/>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全市科技创新水平</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提高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提高</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科技创新水平提升（4分）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参加对象满意度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val="0"/>
                <w:color w:val="000000"/>
                <w:sz w:val="20"/>
                <w:szCs w:val="20"/>
              </w:rPr>
            </w:pPr>
            <w:r>
              <w:rPr>
                <w:rFonts w:ascii="宋体" w:hAnsi="宋体" w:eastAsia="宋体" w:cs="宋体"/>
                <w:b w:val="0"/>
                <w:color w:val="00000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cs="宋体" w:asciiTheme="majorEastAsia" w:hAnsiTheme="majorEastAsia" w:eastAsiaTheme="majorEastAsia"/>
                <w:b w:val="0"/>
                <w:color w:val="000000"/>
                <w:sz w:val="16"/>
                <w:szCs w:val="16"/>
              </w:rPr>
              <w:t>满意度达 95%以上（8分），低于 95%按比例扣分</w:t>
            </w:r>
          </w:p>
        </w:tc>
      </w:tr>
      <w:tr>
        <w:tblPrEx>
          <w:tblCellMar>
            <w:top w:w="0" w:type="dxa"/>
            <w:left w:w="108" w:type="dxa"/>
            <w:bottom w:w="0" w:type="dxa"/>
            <w:right w:w="108" w:type="dxa"/>
          </w:tblCellMar>
        </w:tblPrEx>
        <w:trPr>
          <w:trHeight w:val="358"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46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24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240" w:lineRule="exact"/>
        <w:jc w:val="left"/>
        <w:rPr>
          <w:rFonts w:ascii="APQONC+å®ä½" w:hAnsi="APQONC+å®ä½" w:cs="APQONC+å®ä½"/>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科技创业园运行经费</w:t>
      </w:r>
    </w:p>
    <w:p>
      <w:pPr>
        <w:pStyle w:val="10"/>
        <w:widowControl w:val="0"/>
        <w:spacing w:before="0" w:after="0" w:line="24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24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jc w:val="left"/>
        <w:rPr>
          <w:rFonts w:ascii="Times New Roman" w:hAnsi="Times New Roman" w:cs="Times New Roman" w:eastAsiaTheme="majorEastAsia"/>
          <w:color w:val="000000"/>
          <w:sz w:val="18"/>
          <w:szCs w:val="18"/>
          <w:lang w:eastAsia="zh-CN"/>
        </w:rPr>
      </w:pPr>
      <w:r>
        <w:rPr>
          <w:rFonts w:ascii="Times New Roman" w:cs="Times New Roman" w:hAnsiTheme="majorEastAsia" w:eastAsiaTheme="majorEastAsia"/>
          <w:color w:val="000000"/>
          <w:sz w:val="18"/>
          <w:szCs w:val="18"/>
          <w:lang w:eastAsia="zh-CN"/>
        </w:rPr>
        <w:t>一、项目概况</w:t>
      </w:r>
      <w:r>
        <w:rPr>
          <w:rFonts w:ascii="Times New Roman" w:hAnsi="Times New Roman" w:cs="Times New Roman" w:eastAsiaTheme="majorEastAsia"/>
          <w:color w:val="000000"/>
          <w:sz w:val="18"/>
          <w:szCs w:val="18"/>
          <w:lang w:eastAsia="zh-CN"/>
        </w:rPr>
        <w:t xml:space="preserve"> </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hAnsi="Times New Roman" w:cs="Times New Roman" w:eastAsiaTheme="majorEastAsia"/>
          <w:color w:val="000000"/>
          <w:sz w:val="18"/>
          <w:szCs w:val="18"/>
          <w:lang w:eastAsia="zh-CN"/>
        </w:rPr>
        <w:t>（一）</w:t>
      </w:r>
      <w:r>
        <w:rPr>
          <w:rFonts w:ascii="Times New Roman" w:cs="Times New Roman" w:hAnsiTheme="majorEastAsia" w:eastAsiaTheme="majorEastAsia"/>
          <w:color w:val="000000"/>
          <w:sz w:val="18"/>
          <w:szCs w:val="18"/>
          <w:lang w:eastAsia="zh-CN"/>
        </w:rPr>
        <w:t>项目政策：</w:t>
      </w:r>
      <w:r>
        <w:rPr>
          <w:rFonts w:ascii="Calibri" w:hAnsi="Calibri" w:eastAsia="宋体" w:cs="Times New Roman"/>
          <w:szCs w:val="32"/>
          <w:lang w:eastAsia="zh-CN"/>
        </w:rPr>
        <w:t>《市委办公室  市政府办公室</w:t>
      </w:r>
      <w:r>
        <w:rPr>
          <w:rFonts w:hint="eastAsia" w:ascii="Calibri" w:hAnsi="Calibri" w:eastAsia="宋体" w:cs="Times New Roman"/>
          <w:szCs w:val="32"/>
          <w:lang w:eastAsia="zh-CN"/>
        </w:rPr>
        <w:t>关于</w:t>
      </w:r>
      <w:r>
        <w:rPr>
          <w:rFonts w:ascii="Calibri" w:hAnsi="Calibri" w:eastAsia="宋体" w:cs="Times New Roman"/>
          <w:szCs w:val="32"/>
          <w:lang w:eastAsia="zh-CN"/>
        </w:rPr>
        <w:t>印发〈加快建设科技强市 推动创新型示范县市高质量发展的激励意见〉的通知》（皋办〔202</w:t>
      </w:r>
      <w:r>
        <w:rPr>
          <w:rFonts w:hint="eastAsia" w:ascii="Calibri" w:hAnsi="Calibri" w:eastAsia="宋体" w:cs="Times New Roman"/>
          <w:szCs w:val="32"/>
          <w:lang w:eastAsia="zh-CN"/>
        </w:rPr>
        <w:t>2</w:t>
      </w:r>
      <w:r>
        <w:rPr>
          <w:rFonts w:ascii="Calibri" w:hAnsi="Calibri" w:eastAsia="宋体" w:cs="Times New Roman"/>
          <w:szCs w:val="32"/>
          <w:lang w:eastAsia="zh-CN"/>
        </w:rPr>
        <w:t>〕</w:t>
      </w:r>
      <w:r>
        <w:rPr>
          <w:rFonts w:hint="eastAsia" w:ascii="Calibri" w:hAnsi="Calibri" w:eastAsia="宋体" w:cs="Times New Roman"/>
          <w:szCs w:val="32"/>
          <w:lang w:eastAsia="zh-CN"/>
        </w:rPr>
        <w:t>44</w:t>
      </w:r>
      <w:r>
        <w:rPr>
          <w:rFonts w:ascii="Calibri" w:hAnsi="Calibri" w:eastAsia="宋体" w:cs="Times New Roman"/>
          <w:szCs w:val="32"/>
          <w:lang w:eastAsia="zh-CN"/>
        </w:rPr>
        <w:t>号）</w:t>
      </w:r>
      <w:r>
        <w:rPr>
          <w:rFonts w:hint="eastAsia" w:ascii="Times New Roman" w:cs="Times New Roman" w:hAnsiTheme="majorEastAsia" w:eastAsiaTheme="majorEastAsia"/>
          <w:color w:val="000000"/>
          <w:sz w:val="18"/>
          <w:szCs w:val="18"/>
          <w:lang w:eastAsia="zh-CN"/>
        </w:rPr>
        <w:t>、市科技局职能。</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hAnsi="Times New Roman" w:cs="Times New Roman" w:eastAsiaTheme="majorEastAsia"/>
          <w:color w:val="000000"/>
          <w:sz w:val="18"/>
          <w:szCs w:val="18"/>
          <w:lang w:eastAsia="zh-CN"/>
        </w:rPr>
        <w:t>（二）</w:t>
      </w:r>
      <w:r>
        <w:rPr>
          <w:rFonts w:ascii="Times New Roman" w:cs="Times New Roman" w:hAnsiTheme="majorEastAsia" w:eastAsiaTheme="majorEastAsia"/>
          <w:color w:val="000000"/>
          <w:sz w:val="18"/>
          <w:szCs w:val="18"/>
          <w:lang w:eastAsia="zh-CN"/>
        </w:rPr>
        <w:t>资金分配使用：如皋市科学技术局</w:t>
      </w:r>
      <w:r>
        <w:rPr>
          <w:rFonts w:ascii="Times New Roman" w:hAnsi="Times New Roman" w:cs="Times New Roman" w:eastAsiaTheme="majorEastAsia"/>
          <w:color w:val="000000"/>
          <w:sz w:val="18"/>
          <w:szCs w:val="18"/>
          <w:lang w:eastAsia="zh-CN"/>
        </w:rPr>
        <w:t>202</w:t>
      </w:r>
      <w:r>
        <w:rPr>
          <w:rFonts w:hint="eastAsia" w:ascii="Times New Roman" w:hAnsi="Times New Roman" w:cs="Times New Roman" w:eastAsiaTheme="majorEastAsia"/>
          <w:color w:val="000000"/>
          <w:sz w:val="18"/>
          <w:szCs w:val="18"/>
          <w:lang w:eastAsia="zh-CN"/>
        </w:rPr>
        <w:t>2</w:t>
      </w:r>
      <w:r>
        <w:rPr>
          <w:rFonts w:ascii="Times New Roman" w:cs="Times New Roman" w:hAnsiTheme="majorEastAsia" w:eastAsiaTheme="majorEastAsia"/>
          <w:color w:val="000000"/>
          <w:sz w:val="18"/>
          <w:szCs w:val="18"/>
          <w:lang w:eastAsia="zh-CN"/>
        </w:rPr>
        <w:t>年</w:t>
      </w:r>
      <w:r>
        <w:rPr>
          <w:rFonts w:hint="eastAsia" w:ascii="Times New Roman" w:cs="Times New Roman" w:hAnsiTheme="majorEastAsia" w:eastAsiaTheme="majorEastAsia"/>
          <w:color w:val="000000"/>
          <w:sz w:val="18"/>
          <w:szCs w:val="18"/>
          <w:lang w:eastAsia="zh-CN"/>
        </w:rPr>
        <w:t>科技创业园运行经费</w:t>
      </w:r>
      <w:r>
        <w:rPr>
          <w:rFonts w:ascii="Times New Roman" w:cs="Times New Roman" w:hAnsiTheme="majorEastAsia" w:eastAsiaTheme="majorEastAsia"/>
          <w:color w:val="000000"/>
          <w:sz w:val="18"/>
          <w:szCs w:val="18"/>
          <w:lang w:eastAsia="zh-CN"/>
        </w:rPr>
        <w:t>年初预算</w:t>
      </w:r>
      <w:r>
        <w:rPr>
          <w:rFonts w:ascii="Times New Roman" w:hAnsi="Times New Roman" w:cs="Times New Roman" w:eastAsiaTheme="majorEastAsia"/>
          <w:color w:val="000000"/>
          <w:sz w:val="18"/>
          <w:szCs w:val="18"/>
          <w:lang w:eastAsia="zh-CN"/>
        </w:rPr>
        <w:t>5</w:t>
      </w:r>
      <w:r>
        <w:rPr>
          <w:rFonts w:hint="eastAsia" w:ascii="Times New Roman" w:hAnsi="Times New Roman" w:cs="Times New Roman" w:eastAsiaTheme="majorEastAsia"/>
          <w:color w:val="000000"/>
          <w:sz w:val="18"/>
          <w:szCs w:val="18"/>
          <w:lang w:eastAsia="zh-CN"/>
        </w:rPr>
        <w:t>3</w:t>
      </w:r>
      <w:r>
        <w:rPr>
          <w:rFonts w:ascii="Times New Roman" w:cs="Times New Roman" w:hAnsiTheme="majorEastAsia" w:eastAsiaTheme="majorEastAsia"/>
          <w:color w:val="000000"/>
          <w:sz w:val="18"/>
          <w:szCs w:val="18"/>
          <w:lang w:eastAsia="zh-CN"/>
        </w:rPr>
        <w:t>万元，其中：办公费</w:t>
      </w:r>
      <w:r>
        <w:rPr>
          <w:rFonts w:hint="eastAsia" w:ascii="Times New Roman" w:hAnsi="Times New Roman" w:cs="Times New Roman" w:eastAsiaTheme="majorEastAsia"/>
          <w:color w:val="000000"/>
          <w:sz w:val="18"/>
          <w:szCs w:val="18"/>
          <w:lang w:eastAsia="zh-CN"/>
        </w:rPr>
        <w:t>53</w:t>
      </w:r>
      <w:r>
        <w:rPr>
          <w:rFonts w:ascii="Times New Roman" w:cs="Times New Roman" w:hAnsiTheme="majorEastAsia" w:eastAsiaTheme="majorEastAsia"/>
          <w:color w:val="000000"/>
          <w:sz w:val="18"/>
          <w:szCs w:val="18"/>
          <w:lang w:eastAsia="zh-CN"/>
        </w:rPr>
        <w:t>万元。</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三）项目实施情况：2023年，在市委、市政府的正确领导下，在市科技局的关心指导下，如皋市科技创业园紧紧围绕孵化器建设的目标任务，找准工作重心、理清工作思路，落实工作举措，扎实开展各项工作。重点围绕加强招商引项、提升园区管理服务、引导在孵企业科技创新、指导面上孵化器、众创空间提档升级、各类创新创业大赛等工作,努力搭建优质、高效的科技创新创业平台，优化创新创业环境，为全市经济社会科学发展作出一定的贡献。</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ascii="Times New Roman" w:cs="Times New Roman" w:hAnsiTheme="majorEastAsia" w:eastAsiaTheme="majorEastAsia"/>
          <w:color w:val="000000"/>
          <w:sz w:val="18"/>
          <w:szCs w:val="18"/>
          <w:lang w:eastAsia="zh-CN"/>
        </w:rPr>
        <w:t>二、评价情况</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（一）成立评价小组。根据《如皋市市级项目支出绩效评价管理办法》、《2023 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（四）自我评价情况。项目达到了预期的目标，资金使用有效。评价得分99分，评价等次为“优”。</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ascii="Times New Roman" w:cs="Times New Roman" w:hAnsiTheme="majorEastAsia" w:eastAsiaTheme="majorEastAsia"/>
          <w:color w:val="000000"/>
          <w:sz w:val="18"/>
          <w:szCs w:val="18"/>
          <w:lang w:eastAsia="zh-CN"/>
        </w:rPr>
        <w:t>三、项目绩效</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hint="eastAsia"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一）绩效目标完成情况：1.持续推进全市双创载体建设及质态提升。下原镇科技创业中心成功获批国家级孵化器，高新区光电信息产业园、开发区氢能小镇获批南通市科技企业加速器，高新区半导体产业与开发区氢能与智能制造产业获批南通市级孵化链条。组织长江智创园、磨头新异科创园申报了省级孵化器，吴窑龙游智谷众创空间、江安合信众创空间、丁堰凤凰众创空间申报了省级众创空间，目前正在等待认定结果。充分发挥“科创飞地”项目集聚、转化功能，深化“全国研发、一线孵化、如皋转化”科创项目招引模式，4家“科创飞地”累计入驻孵化项目83个，落户如皋项目19个，新增入驻企业131家，载体内企业申报专利百余件，培育科小65家，小升高入库7家，高企13家。2.创业大赛情况。全年常态化举行了3次创业创新大赛，4月份成功举办了“雉水创客杯科”技孵化器创新创业大赛，7月份举办了农商行杯”北辰之星创新创业大赛，10月份举办了“梦想之星”创新创业大赛，共征集优秀项目百余个报名参赛；四季度的大赛目前正在筹备中。在今年“创业江苏”科技创业大赛中，我市共摸排233家企业和团队参赛。在南通“通创荟”创业大赛中，五源（南通）航天科技有限公司获得初创组一等奖，南通皋璞电子科技有限公司获得初创组二等奖，汇金新材料团队获得团队组二等奖，宇橙光创业团队获得团队组三等奖。全市共10余家项目进入国赛，笠泽制道荣获“中国优秀企业”称号。</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hint="eastAsia" w:ascii="Times New Roman" w:cs="Times New Roman" w:hAnsiTheme="majorEastAsia" w:eastAsiaTheme="majorEastAsia"/>
          <w:color w:val="000000"/>
          <w:sz w:val="18"/>
          <w:szCs w:val="18"/>
          <w:lang w:eastAsia="zh-CN"/>
        </w:rPr>
        <w:t>（二）项目资金使用情况：项目预期投入53万元，实际投入53万元，实际支出53万元，财政预算完成率100%。 项目资金主要用于科技创业园办公经费、日常维护等。</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18"/>
          <w:szCs w:val="18"/>
          <w:lang w:eastAsia="zh-CN"/>
        </w:rPr>
      </w:pPr>
      <w:r>
        <w:rPr>
          <w:rFonts w:ascii="Times New Roman" w:cs="Times New Roman" w:hAnsiTheme="majorEastAsia" w:eastAsiaTheme="majorEastAsia"/>
          <w:color w:val="000000"/>
          <w:sz w:val="18"/>
          <w:szCs w:val="18"/>
          <w:lang w:eastAsia="zh-CN"/>
        </w:rPr>
        <w:t>四、存在问题</w:t>
      </w:r>
      <w:r>
        <w:rPr>
          <w:rFonts w:hint="eastAsia" w:ascii="Times New Roman" w:cs="Times New Roman" w:hAnsiTheme="majorEastAsia" w:eastAsiaTheme="majorEastAsia"/>
          <w:color w:val="000000"/>
          <w:sz w:val="18"/>
          <w:szCs w:val="18"/>
          <w:lang w:eastAsia="zh-CN"/>
        </w:rPr>
        <w:t>：无。</w:t>
      </w:r>
    </w:p>
    <w:p>
      <w:pPr>
        <w:pStyle w:val="10"/>
        <w:widowControl w:val="0"/>
        <w:pBdr>
          <w:top w:val="single" w:color="auto" w:sz="4" w:space="0"/>
          <w:left w:val="single" w:color="auto" w:sz="4" w:space="0"/>
          <w:bottom w:val="single" w:color="auto" w:sz="4" w:space="31"/>
          <w:right w:val="single" w:color="auto" w:sz="4" w:space="0"/>
        </w:pBdr>
        <w:spacing w:before="0" w:after="0" w:line="240" w:lineRule="exact"/>
        <w:ind w:firstLine="360" w:firstLineChars="200"/>
        <w:jc w:val="left"/>
        <w:rPr>
          <w:rFonts w:ascii="Times New Roman" w:cs="Times New Roman" w:hAnsiTheme="majorEastAsia" w:eastAsiaTheme="majorEastAsia"/>
          <w:color w:val="000000"/>
          <w:sz w:val="21"/>
          <w:lang w:eastAsia="zh-CN"/>
        </w:rPr>
        <w:sectPr>
          <w:pgSz w:w="11900" w:h="16820"/>
          <w:pgMar w:top="1609" w:right="1474" w:bottom="1191" w:left="1644" w:header="720" w:footer="720" w:gutter="0"/>
          <w:pgNumType w:fmt="numberInDash" w:start="1"/>
          <w:cols w:space="720" w:num="1"/>
          <w:docGrid w:linePitch="1" w:charSpace="0"/>
        </w:sectPr>
      </w:pPr>
      <w:r>
        <w:rPr>
          <w:rFonts w:hint="eastAsia" w:ascii="Times New Roman" w:cs="Times New Roman" w:hAnsiTheme="majorEastAsia" w:eastAsiaTheme="majorEastAsia"/>
          <w:color w:val="000000"/>
          <w:sz w:val="18"/>
          <w:szCs w:val="18"/>
          <w:lang w:eastAsia="zh-CN"/>
        </w:rPr>
        <w:t>五、</w:t>
      </w:r>
      <w:r>
        <w:rPr>
          <w:rFonts w:ascii="Times New Roman" w:cs="Times New Roman" w:hAnsiTheme="majorEastAsia" w:eastAsiaTheme="majorEastAsia"/>
          <w:color w:val="000000"/>
          <w:sz w:val="18"/>
          <w:szCs w:val="18"/>
          <w:lang w:eastAsia="zh-CN"/>
        </w:rPr>
        <w:t>有关建议</w:t>
      </w:r>
      <w:r>
        <w:rPr>
          <w:rFonts w:hint="eastAsia" w:ascii="Times New Roman" w:cs="Times New Roman" w:hAnsiTheme="majorEastAsia" w:eastAsiaTheme="majorEastAsia"/>
          <w:color w:val="000000"/>
          <w:sz w:val="18"/>
          <w:szCs w:val="18"/>
          <w:lang w:eastAsia="zh-CN"/>
        </w:rPr>
        <w:t>：1.提升科技企业孵化器服务能力。园区、孵化器和众创空间要根据实际情况明确自身的定位，针对定位优化配套资源，吸引优质企业入驻。同时加快孵化器管理团队建设，加强人才引进和培养，提升管理队伍业务能力，提升孵化器服务层次，提高入驻企业的满意度和留存度，加快运营效率，帮助入驻的中小型企业快速健康的成长。2. 优化创新创业环境。积极落实完善科技政策举措，增强政策集成和实效，促进科技、人才、产业、金融等政策的有效衔接，形成政策合力。与各类中介服务机构建立长期稳定的协作关系，通过中介服务使孵化企业与国内生产要素市场紧密联系，快速聚集生产要素，加速企业发展。</w:t>
      </w: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360" w:lineRule="exact"/>
        <w:jc w:val="left"/>
        <w:rPr>
          <w:rFonts w:ascii="APQONC+å®ä½" w:hAnsi="APQONC+å®ä½" w:cs="APQONC+å®ä½"/>
          <w:color w:val="000000"/>
          <w:sz w:val="18"/>
          <w:u w:val="single"/>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科技创业园运行经费</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入孵企业数量</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增加</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增加</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孵化企业达到的效果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科技创业园运行</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正常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正常</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53万元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53万元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2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带来社会价值</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对科技创新促进（10分）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完成税收</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2"/>
                <w:szCs w:val="22"/>
              </w:rPr>
            </w:pPr>
            <w:r>
              <w:rPr>
                <w:rFonts w:hint="eastAsia" w:cs="宋体" w:asciiTheme="majorEastAsia" w:hAnsiTheme="majorEastAsia" w:eastAsiaTheme="majorEastAsia"/>
                <w:b w:val="0"/>
                <w:color w:val="000000"/>
                <w:sz w:val="16"/>
                <w:szCs w:val="16"/>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2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孵化器运行</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按序时进度完成既定目标（4分）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入孵企业满意度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cs="宋体" w:asciiTheme="majorEastAsia" w:hAnsiTheme="majorEastAsia" w:eastAsiaTheme="majorEastAsia"/>
                <w:b w:val="0"/>
                <w:color w:val="000000"/>
                <w:sz w:val="16"/>
                <w:szCs w:val="16"/>
              </w:rPr>
              <w:t>满意度达 95%以上（8分），低于 95%按比例扣分</w:t>
            </w:r>
          </w:p>
        </w:tc>
      </w:tr>
      <w:tr>
        <w:tblPrEx>
          <w:tblCellMar>
            <w:top w:w="0" w:type="dxa"/>
            <w:left w:w="108" w:type="dxa"/>
            <w:bottom w:w="0" w:type="dxa"/>
            <w:right w:w="108" w:type="dxa"/>
          </w:tblCellMar>
        </w:tblPrEx>
        <w:trPr>
          <w:trHeight w:val="441"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44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4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32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50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科技专家咨询费</w:t>
      </w:r>
    </w:p>
    <w:p>
      <w:pPr>
        <w:pStyle w:val="10"/>
        <w:widowControl w:val="0"/>
        <w:spacing w:before="0" w:after="0" w:line="32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40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ascii="Calibri" w:hAnsi="Calibri" w:eastAsia="宋体" w:cs="Times New Roman"/>
          <w:szCs w:val="32"/>
          <w:lang w:eastAsia="zh-CN"/>
        </w:rPr>
        <w:t>《市委办公室  市政府办公室</w:t>
      </w:r>
      <w:r>
        <w:rPr>
          <w:rFonts w:hint="eastAsia" w:ascii="Calibri" w:hAnsi="Calibri" w:eastAsia="宋体" w:cs="Times New Roman"/>
          <w:szCs w:val="32"/>
          <w:lang w:eastAsia="zh-CN"/>
        </w:rPr>
        <w:t>关于</w:t>
      </w:r>
      <w:r>
        <w:rPr>
          <w:rFonts w:ascii="Calibri" w:hAnsi="Calibri" w:eastAsia="宋体" w:cs="Times New Roman"/>
          <w:szCs w:val="32"/>
          <w:lang w:eastAsia="zh-CN"/>
        </w:rPr>
        <w:t>印发〈加快建设科技强市 推动创新型示范县市高质量发展的激励意见〉的通知》（皋办〔202</w:t>
      </w:r>
      <w:r>
        <w:rPr>
          <w:rFonts w:hint="eastAsia" w:ascii="Calibri" w:hAnsi="Calibri" w:eastAsia="宋体" w:cs="Times New Roman"/>
          <w:szCs w:val="32"/>
          <w:lang w:eastAsia="zh-CN"/>
        </w:rPr>
        <w:t>2</w:t>
      </w:r>
      <w:r>
        <w:rPr>
          <w:rFonts w:ascii="Calibri" w:hAnsi="Calibri" w:eastAsia="宋体" w:cs="Times New Roman"/>
          <w:szCs w:val="32"/>
          <w:lang w:eastAsia="zh-CN"/>
        </w:rPr>
        <w:t>〕</w:t>
      </w:r>
      <w:r>
        <w:rPr>
          <w:rFonts w:hint="eastAsia" w:ascii="Calibri" w:hAnsi="Calibri" w:eastAsia="宋体" w:cs="Times New Roman"/>
          <w:szCs w:val="32"/>
          <w:lang w:eastAsia="zh-CN"/>
        </w:rPr>
        <w:t>44</w:t>
      </w:r>
      <w:r>
        <w:rPr>
          <w:rFonts w:ascii="Calibri" w:hAnsi="Calibri" w:eastAsia="宋体" w:cs="Times New Roman"/>
          <w:szCs w:val="32"/>
          <w:lang w:eastAsia="zh-CN"/>
        </w:rPr>
        <w:t>号）</w:t>
      </w:r>
      <w:r>
        <w:rPr>
          <w:rFonts w:hint="eastAsia" w:ascii="Times New Roman" w:cs="Times New Roman" w:hAnsiTheme="majorEastAsia" w:eastAsiaTheme="majorEastAsia"/>
          <w:color w:val="000000"/>
          <w:sz w:val="21"/>
          <w:lang w:eastAsia="zh-CN"/>
        </w:rPr>
        <w:t>、市科技局职能。</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cs="Times New Roman" w:hAnsiTheme="majorEastAsia" w:eastAsiaTheme="majorEastAsia"/>
          <w:color w:val="000000"/>
          <w:sz w:val="21"/>
          <w:lang w:eastAsia="zh-CN"/>
        </w:rPr>
        <w:t>资金分配使用：如皋市科学技术局</w:t>
      </w:r>
      <w:r>
        <w:rPr>
          <w:rFonts w:ascii="Times New Roman" w:hAnsi="Times New Roman" w:cs="Times New Roman" w:eastAsiaTheme="majorEastAsia"/>
          <w:color w:val="000000"/>
          <w:sz w:val="21"/>
          <w:lang w:eastAsia="zh-CN"/>
        </w:rPr>
        <w:t>202</w:t>
      </w:r>
      <w:r>
        <w:rPr>
          <w:rFonts w:hint="eastAsia" w:ascii="Times New Roman" w:hAnsi="Times New Roman" w:cs="Times New Roman" w:eastAsiaTheme="majorEastAsia"/>
          <w:color w:val="000000"/>
          <w:sz w:val="21"/>
          <w:lang w:eastAsia="zh-CN"/>
        </w:rPr>
        <w:t>2</w:t>
      </w:r>
      <w:r>
        <w:rPr>
          <w:rFonts w:ascii="Times New Roman" w:cs="Times New Roman" w:hAnsiTheme="majorEastAsia" w:eastAsiaTheme="majorEastAsia"/>
          <w:color w:val="000000"/>
          <w:sz w:val="21"/>
          <w:lang w:eastAsia="zh-CN"/>
        </w:rPr>
        <w:t>年</w:t>
      </w:r>
      <w:r>
        <w:rPr>
          <w:rFonts w:hint="eastAsia" w:ascii="Times New Roman" w:cs="Times New Roman" w:hAnsiTheme="majorEastAsia" w:eastAsiaTheme="majorEastAsia"/>
          <w:color w:val="000000"/>
          <w:sz w:val="21"/>
          <w:lang w:eastAsia="zh-CN"/>
        </w:rPr>
        <w:t>科技专家咨询费</w:t>
      </w:r>
      <w:r>
        <w:rPr>
          <w:rFonts w:ascii="Times New Roman" w:cs="Times New Roman" w:hAnsiTheme="majorEastAsia" w:eastAsiaTheme="majorEastAsia"/>
          <w:color w:val="000000"/>
          <w:sz w:val="21"/>
          <w:lang w:eastAsia="zh-CN"/>
        </w:rPr>
        <w:t>年初预算</w:t>
      </w:r>
      <w:r>
        <w:rPr>
          <w:rFonts w:hint="eastAsia" w:ascii="Times New Roman" w:hAnsi="Times New Roman" w:cs="Times New Roman" w:eastAsiaTheme="majorEastAsia"/>
          <w:color w:val="000000"/>
          <w:sz w:val="21"/>
          <w:lang w:eastAsia="zh-CN"/>
        </w:rPr>
        <w:t>3</w:t>
      </w:r>
      <w:r>
        <w:rPr>
          <w:rFonts w:ascii="Times New Roman" w:hAnsi="Times New Roman" w:cs="Times New Roman" w:eastAsiaTheme="majorEastAsia"/>
          <w:color w:val="000000"/>
          <w:sz w:val="21"/>
          <w:lang w:eastAsia="zh-CN"/>
        </w:rPr>
        <w:t>0</w:t>
      </w:r>
      <w:r>
        <w:rPr>
          <w:rFonts w:ascii="Times New Roman" w:cs="Times New Roman" w:hAnsiTheme="majorEastAsia" w:eastAsiaTheme="majorEastAsia"/>
          <w:color w:val="000000"/>
          <w:sz w:val="21"/>
          <w:lang w:eastAsia="zh-CN"/>
        </w:rPr>
        <w:t>万元，其中：委托业务费</w:t>
      </w:r>
      <w:r>
        <w:rPr>
          <w:rFonts w:hint="eastAsia" w:ascii="Times New Roman" w:hAnsi="Times New Roman" w:cs="Times New Roman" w:eastAsiaTheme="majorEastAsia"/>
          <w:color w:val="000000"/>
          <w:sz w:val="21"/>
          <w:lang w:eastAsia="zh-CN"/>
        </w:rPr>
        <w:t>30</w:t>
      </w:r>
      <w:r>
        <w:rPr>
          <w:rFonts w:ascii="Times New Roman" w:cs="Times New Roman" w:hAnsiTheme="majorEastAsia" w:eastAsiaTheme="majorEastAsia"/>
          <w:color w:val="000000"/>
          <w:sz w:val="21"/>
          <w:lang w:eastAsia="zh-CN"/>
        </w:rPr>
        <w:t>万元。</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（三）项目实施情况：2023年，如皋市科学技术局围绕科技创新工作，不断加强政策引导，全力推进产学研合作，不断提升企业自主创新能力建设。在</w:t>
      </w:r>
      <w:r>
        <w:rPr>
          <w:rFonts w:ascii="Times New Roman" w:cs="Times New Roman" w:hAnsiTheme="majorEastAsia" w:eastAsiaTheme="majorEastAsia"/>
          <w:color w:val="000000"/>
          <w:sz w:val="21"/>
          <w:lang w:eastAsia="zh-CN"/>
        </w:rPr>
        <w:t>市级科技计划项目</w:t>
      </w:r>
      <w:r>
        <w:rPr>
          <w:rFonts w:hint="eastAsia" w:ascii="Times New Roman" w:cs="Times New Roman" w:hAnsiTheme="majorEastAsia" w:eastAsiaTheme="majorEastAsia"/>
          <w:color w:val="000000"/>
          <w:sz w:val="21"/>
          <w:lang w:eastAsia="zh-CN"/>
        </w:rPr>
        <w:t>评审、</w:t>
      </w:r>
      <w:r>
        <w:rPr>
          <w:rFonts w:ascii="Times New Roman" w:cs="Times New Roman" w:hAnsiTheme="majorEastAsia" w:eastAsiaTheme="majorEastAsia"/>
          <w:color w:val="000000"/>
          <w:sz w:val="21"/>
          <w:lang w:eastAsia="zh-CN"/>
        </w:rPr>
        <w:t>立项和验收，科技进步奖励，科技园区基地、企业、产品等认定，创业大赛等活动邀请专家评审论证</w:t>
      </w:r>
      <w:r>
        <w:rPr>
          <w:rFonts w:hint="eastAsia" w:ascii="Times New Roman" w:cs="Times New Roman" w:hAnsiTheme="majorEastAsia" w:eastAsiaTheme="majorEastAsia"/>
          <w:color w:val="000000"/>
          <w:sz w:val="21"/>
          <w:lang w:eastAsia="zh-CN"/>
        </w:rPr>
        <w:t>，2022年</w:t>
      </w:r>
      <w:r>
        <w:rPr>
          <w:rFonts w:ascii="Times New Roman" w:cs="Times New Roman" w:hAnsiTheme="majorEastAsia" w:eastAsiaTheme="majorEastAsia"/>
          <w:color w:val="000000"/>
          <w:sz w:val="21"/>
          <w:lang w:eastAsia="zh-CN"/>
        </w:rPr>
        <w:t>科技项目申报</w:t>
      </w:r>
      <w:r>
        <w:rPr>
          <w:rFonts w:hint="eastAsia" w:ascii="Times New Roman" w:cs="Times New Roman" w:hAnsiTheme="majorEastAsia" w:eastAsiaTheme="majorEastAsia"/>
          <w:color w:val="000000"/>
          <w:sz w:val="21"/>
          <w:lang w:eastAsia="zh-CN"/>
        </w:rPr>
        <w:t>和立项中成效显著。通过加强纽带作用，为科技型企业牵线搭桥，与研发实力强的人才团队加大合作力度，为我市产业结构优化注入新的活力。</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二、评价情况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 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（四）自我评价情况。项目达到了预期的目标，资金使用有效。评价得分99分，评价等次为“优”。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w:t>
      </w:r>
      <w:r>
        <w:rPr>
          <w:rFonts w:ascii="Times New Roman" w:cs="Times New Roman" w:hAnsiTheme="majorEastAsia" w:eastAsiaTheme="majorEastAsia"/>
          <w:color w:val="000000"/>
          <w:sz w:val="21"/>
          <w:lang w:eastAsia="zh-CN"/>
        </w:rPr>
        <w:t>深入实施“高企倍增”计划，共组织推荐465家企业申报高企，认定</w:t>
      </w:r>
      <w:r>
        <w:rPr>
          <w:rFonts w:hint="eastAsia" w:ascii="Times New Roman" w:cs="Times New Roman" w:hAnsiTheme="majorEastAsia" w:eastAsiaTheme="majorEastAsia"/>
          <w:color w:val="000000"/>
          <w:sz w:val="21"/>
          <w:lang w:eastAsia="zh-CN"/>
        </w:rPr>
        <w:t>281</w:t>
      </w:r>
      <w:r>
        <w:rPr>
          <w:rFonts w:ascii="Times New Roman" w:cs="Times New Roman" w:hAnsiTheme="majorEastAsia" w:eastAsiaTheme="majorEastAsia"/>
          <w:color w:val="000000"/>
          <w:sz w:val="21"/>
          <w:lang w:eastAsia="zh-CN"/>
        </w:rPr>
        <w:t>家，</w:t>
      </w:r>
      <w:r>
        <w:rPr>
          <w:rFonts w:hint="eastAsia" w:ascii="Times New Roman" w:cs="Times New Roman" w:hAnsiTheme="majorEastAsia" w:eastAsiaTheme="majorEastAsia"/>
          <w:color w:val="000000"/>
          <w:sz w:val="21"/>
          <w:lang w:eastAsia="zh-CN"/>
        </w:rPr>
        <w:t>净增172家，总数达631家，</w:t>
      </w:r>
      <w:r>
        <w:rPr>
          <w:rFonts w:ascii="Times New Roman" w:cs="Times New Roman" w:hAnsiTheme="majorEastAsia" w:eastAsiaTheme="majorEastAsia"/>
          <w:color w:val="000000"/>
          <w:sz w:val="21"/>
          <w:lang w:eastAsia="zh-CN"/>
        </w:rPr>
        <w:t>提前两年完成“十四五”目标任务。组织推荐953家企业参加科技型中小企业备案，已备案入库935家。全市获认定独角兽企业1家（和府餐饮）、潜在独角兽企业2家（卓远半导体、奕隆机电）、瞪羚企业6家（世睿电力、迅镭激光、珂黎艾净化、南海水处理剂、佳谬电气、惠沣环保）力威机械获批国家重点研发计划。中铁山桥、天南电力2个项目获省科技成果转化专项资金项目立项，共获省财政资助2000万元，立项数居南通各县市首位。新瑞药业王莉团队和势加透博张学锋团队入选省“双创团队”（全省科技类双创团队仅26家），取得历史性突破。惟怡新材料获得2022年度江苏省科学技术奖一等奖。霖鼎光学、惟怡新材料分别获全国颠覆性技术创新大赛总决赛优胜奖（全国仅41家）和优秀奖。</w:t>
      </w:r>
      <w:r>
        <w:rPr>
          <w:rFonts w:hint="eastAsia" w:ascii="Times New Roman" w:cs="Times New Roman" w:hAnsiTheme="majorEastAsia" w:eastAsiaTheme="majorEastAsia"/>
          <w:color w:val="000000"/>
          <w:sz w:val="21"/>
          <w:lang w:eastAsia="zh-CN"/>
        </w:rPr>
        <w:t>组织力星</w:t>
      </w:r>
      <w:r>
        <w:rPr>
          <w:rFonts w:ascii="Times New Roman" w:cs="Times New Roman" w:hAnsiTheme="majorEastAsia" w:eastAsiaTheme="majorEastAsia"/>
          <w:color w:val="000000"/>
          <w:sz w:val="21"/>
          <w:lang w:eastAsia="zh-CN"/>
        </w:rPr>
        <w:t>通用钢球</w:t>
      </w:r>
      <w:r>
        <w:rPr>
          <w:rFonts w:hint="eastAsia" w:ascii="Times New Roman" w:cs="Times New Roman" w:hAnsiTheme="majorEastAsia" w:eastAsiaTheme="majorEastAsia"/>
          <w:color w:val="000000"/>
          <w:sz w:val="21"/>
          <w:lang w:eastAsia="zh-CN"/>
        </w:rPr>
        <w:t>、力威机械、如高高压申报省创新联合体</w:t>
      </w:r>
      <w:r>
        <w:rPr>
          <w:rFonts w:ascii="Times New Roman" w:cs="Times New Roman" w:hAnsiTheme="majorEastAsia"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（二）项目资金使用情况：项目预期投入30 万元，实际投入30万元，实际支出 30万元，财政预算完成率100%。 项目资金主要用于科技专家咨询专家费。</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四、存在问题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无。</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五、</w:t>
      </w:r>
      <w:r>
        <w:rPr>
          <w:rFonts w:ascii="Times New Roman" w:cs="Times New Roman" w:hAnsiTheme="majorEastAsia" w:eastAsiaTheme="majorEastAsia"/>
          <w:color w:val="000000"/>
          <w:sz w:val="21"/>
          <w:lang w:eastAsia="zh-CN"/>
        </w:rPr>
        <w:t>有关建议</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40" w:firstLineChars="200"/>
        <w:jc w:val="left"/>
        <w:rPr>
          <w:rFonts w:ascii="Times New Roman" w:cs="Times New Roman" w:hAnsiTheme="majorEastAsia" w:eastAsiaTheme="majorEastAsia"/>
          <w:color w:val="000000"/>
          <w:sz w:val="21"/>
          <w:lang w:eastAsia="zh-CN"/>
        </w:rPr>
      </w:pPr>
      <w:r>
        <w:rPr>
          <w:rFonts w:hint="eastAsia"/>
          <w:lang w:eastAsia="zh-CN"/>
        </w:rPr>
        <w:t>1.</w:t>
      </w:r>
      <w:r>
        <w:rPr>
          <w:lang w:eastAsia="zh-CN"/>
        </w:rPr>
        <w:t xml:space="preserve">加大对项目监管的投入，加强过程监控和项目规范性实施培训； </w:t>
      </w:r>
      <w:r>
        <w:rPr>
          <w:rFonts w:hint="eastAsia"/>
          <w:lang w:eastAsia="zh-CN"/>
        </w:rPr>
        <w:t>2.</w:t>
      </w:r>
      <w:r>
        <w:rPr>
          <w:lang w:eastAsia="zh-CN"/>
        </w:rPr>
        <w:t>严格要求绩效佐证材料标准，必须按照合同约定的指标实施项目，每项指标实施的流程和成效须提供清晰的佐证材料，并确保材料与项目的相关性</w:t>
      </w:r>
      <w:r>
        <w:rPr>
          <w:rFonts w:hint="eastAsia" w:ascii="Times New Roman" w:cs="Times New Roman" w:hAnsiTheme="majorEastAsia"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200"/>
        <w:jc w:val="left"/>
        <w:rPr>
          <w:rFonts w:ascii="Times New Roman" w:cs="Times New Roman" w:hAnsiTheme="majorEastAsia" w:eastAsiaTheme="majorEastAsia"/>
          <w:color w:val="000000"/>
          <w:sz w:val="21"/>
          <w:lang w:eastAsia="zh-CN"/>
        </w:rPr>
      </w:pP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200"/>
        <w:jc w:val="left"/>
        <w:rPr>
          <w:rFonts w:ascii="Times New Roman" w:cs="Times New Roman" w:hAnsiTheme="majorEastAsia" w:eastAsiaTheme="majorEastAsia"/>
          <w:color w:val="000000"/>
          <w:sz w:val="21"/>
          <w:lang w:eastAsia="zh-CN"/>
        </w:rPr>
      </w:pPr>
    </w:p>
    <w:p>
      <w:pPr>
        <w:pStyle w:val="10"/>
        <w:widowControl w:val="0"/>
        <w:pBdr>
          <w:top w:val="single" w:color="auto" w:sz="4" w:space="0"/>
          <w:left w:val="single" w:color="auto" w:sz="4" w:space="0"/>
          <w:bottom w:val="single" w:color="auto" w:sz="4" w:space="0"/>
          <w:right w:val="single" w:color="auto" w:sz="4" w:space="0"/>
        </w:pBdr>
        <w:spacing w:before="0" w:after="0" w:line="560" w:lineRule="exact"/>
        <w:jc w:val="left"/>
        <w:rPr>
          <w:rFonts w:ascii="APQONC+å®ä½" w:hAnsi="APQONC+å®ä½" w:cs="APQONC+å®ä½"/>
          <w:color w:val="000000"/>
          <w:sz w:val="21"/>
          <w:lang w:eastAsia="zh-CN"/>
        </w:rPr>
        <w:sectPr>
          <w:pgSz w:w="11900" w:h="16820"/>
          <w:pgMar w:top="1609" w:right="1474" w:bottom="1191" w:left="1644" w:header="720" w:footer="720" w:gutter="0"/>
          <w:pgNumType w:fmt="numberInDash" w:start="1"/>
          <w:cols w:space="720" w:num="1"/>
          <w:docGrid w:linePitch="1" w:charSpace="0"/>
        </w:sectPr>
      </w:pP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500" w:lineRule="exact"/>
        <w:jc w:val="left"/>
        <w:rPr>
          <w:rFonts w:ascii="宋体" w:hAnsi="宋体" w:eastAsia="宋体" w:cs="宋体"/>
          <w:color w:val="000000"/>
          <w:sz w:val="18"/>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科技专家咨询费</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评审对象</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6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按序时进度需要</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按序时进度需要</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服务效果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服务及时度和效率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30万元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30万元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带来社会价值</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项目通过率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增加</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增加</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2"/>
                <w:szCs w:val="22"/>
              </w:rPr>
            </w:pPr>
            <w:r>
              <w:rPr>
                <w:rFonts w:hint="eastAsia" w:cs="宋体" w:asciiTheme="majorEastAsia" w:hAnsiTheme="majorEastAsia" w:eastAsiaTheme="majorEastAsia"/>
                <w:b w:val="0"/>
                <w:color w:val="000000"/>
                <w:sz w:val="16"/>
                <w:szCs w:val="16"/>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长期影响率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对科技创新促进（4分）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服务对象满意度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cs="宋体" w:asciiTheme="majorEastAsia" w:hAnsiTheme="majorEastAsia" w:eastAsiaTheme="majorEastAsia"/>
                <w:b w:val="0"/>
                <w:color w:val="000000"/>
                <w:sz w:val="16"/>
                <w:szCs w:val="16"/>
              </w:rPr>
              <w:t>满意度达 95%以上（8分），低于 95%按比例扣分</w:t>
            </w:r>
          </w:p>
        </w:tc>
      </w:tr>
      <w:tr>
        <w:tblPrEx>
          <w:tblCellMar>
            <w:top w:w="0" w:type="dxa"/>
            <w:left w:w="108" w:type="dxa"/>
            <w:bottom w:w="0" w:type="dxa"/>
            <w:right w:w="108" w:type="dxa"/>
          </w:tblCellMar>
        </w:tblPrEx>
        <w:trPr>
          <w:trHeight w:val="413"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44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4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28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28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科技综合服务平台建设维护费</w:t>
      </w:r>
    </w:p>
    <w:p>
      <w:pPr>
        <w:pStyle w:val="10"/>
        <w:widowControl w:val="0"/>
        <w:spacing w:before="0" w:after="0" w:line="28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40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ascii="Calibri" w:hAnsi="Calibri" w:eastAsia="宋体" w:cs="Times New Roman"/>
          <w:szCs w:val="32"/>
          <w:lang w:eastAsia="zh-CN"/>
        </w:rPr>
        <w:t>《市委办公室  市政府办公室</w:t>
      </w:r>
      <w:r>
        <w:rPr>
          <w:rFonts w:hint="eastAsia" w:ascii="Calibri" w:hAnsi="Calibri" w:eastAsia="宋体" w:cs="Times New Roman"/>
          <w:szCs w:val="32"/>
          <w:lang w:eastAsia="zh-CN"/>
        </w:rPr>
        <w:t>关于</w:t>
      </w:r>
      <w:r>
        <w:rPr>
          <w:rFonts w:ascii="Calibri" w:hAnsi="Calibri" w:eastAsia="宋体" w:cs="Times New Roman"/>
          <w:szCs w:val="32"/>
          <w:lang w:eastAsia="zh-CN"/>
        </w:rPr>
        <w:t>印发〈加快建设科技强市 推动创新型示范县市高质量发展的激励意见〉的通知》（皋办〔202</w:t>
      </w:r>
      <w:r>
        <w:rPr>
          <w:rFonts w:hint="eastAsia" w:ascii="Calibri" w:hAnsi="Calibri" w:eastAsia="宋体" w:cs="Times New Roman"/>
          <w:szCs w:val="32"/>
          <w:lang w:eastAsia="zh-CN"/>
        </w:rPr>
        <w:t>2</w:t>
      </w:r>
      <w:r>
        <w:rPr>
          <w:rFonts w:ascii="Calibri" w:hAnsi="Calibri" w:eastAsia="宋体" w:cs="Times New Roman"/>
          <w:szCs w:val="32"/>
          <w:lang w:eastAsia="zh-CN"/>
        </w:rPr>
        <w:t>〕</w:t>
      </w:r>
      <w:r>
        <w:rPr>
          <w:rFonts w:hint="eastAsia" w:ascii="Calibri" w:hAnsi="Calibri" w:eastAsia="宋体" w:cs="Times New Roman"/>
          <w:szCs w:val="32"/>
          <w:lang w:eastAsia="zh-CN"/>
        </w:rPr>
        <w:t>44</w:t>
      </w:r>
      <w:r>
        <w:rPr>
          <w:rFonts w:ascii="Calibri" w:hAnsi="Calibri" w:eastAsia="宋体" w:cs="Times New Roman"/>
          <w:szCs w:val="32"/>
          <w:lang w:eastAsia="zh-CN"/>
        </w:rPr>
        <w:t>号）</w:t>
      </w:r>
      <w:r>
        <w:rPr>
          <w:rFonts w:hint="eastAsia" w:ascii="Times New Roman" w:cs="Times New Roman" w:hAnsiTheme="majorEastAsia" w:eastAsiaTheme="majorEastAsia"/>
          <w:color w:val="000000"/>
          <w:sz w:val="21"/>
          <w:lang w:eastAsia="zh-CN"/>
        </w:rPr>
        <w:t>、市科技局职能。</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cs="Times New Roman" w:hAnsiTheme="majorEastAsia" w:eastAsiaTheme="majorEastAsia"/>
          <w:color w:val="000000"/>
          <w:sz w:val="21"/>
          <w:lang w:eastAsia="zh-CN"/>
        </w:rPr>
        <w:t>资金分配使用：如皋市科学技术局</w:t>
      </w:r>
      <w:r>
        <w:rPr>
          <w:rFonts w:ascii="Times New Roman" w:hAnsi="Times New Roman" w:cs="Times New Roman" w:eastAsiaTheme="majorEastAsia"/>
          <w:color w:val="000000"/>
          <w:sz w:val="21"/>
          <w:lang w:eastAsia="zh-CN"/>
        </w:rPr>
        <w:t>202</w:t>
      </w:r>
      <w:r>
        <w:rPr>
          <w:rFonts w:hint="eastAsia" w:ascii="Times New Roman" w:hAnsi="Times New Roman" w:cs="Times New Roman" w:eastAsiaTheme="majorEastAsia"/>
          <w:color w:val="000000"/>
          <w:sz w:val="21"/>
          <w:lang w:eastAsia="zh-CN"/>
        </w:rPr>
        <w:t>2</w:t>
      </w:r>
      <w:r>
        <w:rPr>
          <w:rFonts w:ascii="Times New Roman" w:cs="Times New Roman" w:hAnsiTheme="majorEastAsia" w:eastAsiaTheme="majorEastAsia"/>
          <w:color w:val="000000"/>
          <w:sz w:val="21"/>
          <w:lang w:eastAsia="zh-CN"/>
        </w:rPr>
        <w:t>年</w:t>
      </w:r>
      <w:r>
        <w:rPr>
          <w:rFonts w:hint="eastAsia" w:ascii="Times New Roman" w:cs="Times New Roman" w:hAnsiTheme="majorEastAsia" w:eastAsiaTheme="majorEastAsia"/>
          <w:color w:val="000000"/>
          <w:sz w:val="21"/>
          <w:lang w:eastAsia="zh-CN"/>
        </w:rPr>
        <w:t>科技综合服务平台建设维护费</w:t>
      </w:r>
      <w:r>
        <w:rPr>
          <w:rFonts w:ascii="Times New Roman" w:cs="Times New Roman" w:hAnsiTheme="majorEastAsia" w:eastAsiaTheme="majorEastAsia"/>
          <w:color w:val="000000"/>
          <w:sz w:val="21"/>
          <w:lang w:eastAsia="zh-CN"/>
        </w:rPr>
        <w:t>年初预算</w:t>
      </w:r>
      <w:r>
        <w:rPr>
          <w:rFonts w:hint="eastAsia" w:ascii="Times New Roman" w:hAnsi="Times New Roman" w:cs="Times New Roman" w:eastAsiaTheme="majorEastAsia"/>
          <w:color w:val="000000"/>
          <w:sz w:val="21"/>
          <w:lang w:eastAsia="zh-CN"/>
        </w:rPr>
        <w:t>15</w:t>
      </w:r>
      <w:r>
        <w:rPr>
          <w:rFonts w:ascii="Times New Roman" w:cs="Times New Roman" w:hAnsiTheme="majorEastAsia" w:eastAsiaTheme="majorEastAsia"/>
          <w:color w:val="000000"/>
          <w:sz w:val="21"/>
          <w:lang w:eastAsia="zh-CN"/>
        </w:rPr>
        <w:t>万元，其中：委托业务费</w:t>
      </w:r>
      <w:r>
        <w:rPr>
          <w:rFonts w:hint="eastAsia" w:ascii="Times New Roman" w:hAnsi="Times New Roman" w:cs="Times New Roman" w:eastAsiaTheme="majorEastAsia"/>
          <w:color w:val="000000"/>
          <w:sz w:val="21"/>
          <w:lang w:eastAsia="zh-CN"/>
        </w:rPr>
        <w:t>1</w:t>
      </w:r>
      <w:r>
        <w:rPr>
          <w:rFonts w:ascii="Times New Roman" w:hAnsi="Times New Roman" w:cs="Times New Roman" w:eastAsiaTheme="majorEastAsia"/>
          <w:color w:val="000000"/>
          <w:sz w:val="21"/>
          <w:lang w:eastAsia="zh-CN"/>
        </w:rPr>
        <w:t>5</w:t>
      </w:r>
      <w:r>
        <w:rPr>
          <w:rFonts w:ascii="Times New Roman" w:cs="Times New Roman" w:hAnsiTheme="majorEastAsia" w:eastAsiaTheme="majorEastAsia"/>
          <w:color w:val="000000"/>
          <w:sz w:val="21"/>
          <w:lang w:eastAsia="zh-CN"/>
        </w:rPr>
        <w:t>万元。</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项目实施情况：2023年，如皋市科学技术局围绕科技创新工作，不断加强政策引导，全力推进产学研合作，扎实推进科技创新平台建设，不断提升企业自主创新能力建设，把加快培育创新型企业作为科技工作的重中之重，打造更多的创新型企业集群，引导各类资源向创新型企业倾斜，针对不同类型和发展阶段的科技企业进行分类指导，着力集聚科技型中小企业，不断培育高新技术企业，寻求创新型领军企业的突破。如皋市科技综合平台的建设，方便企业根据项目分类有效的找专家、找人才、找资金、发布企业需求，方便专家根据专业对接企业需求，降低企业成本，进一步提升了企业科技创新能力。</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二、评价情况</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（四）自我评价情况。项目达到了预期的目标，资金使用有效。评价得分99分，评价等次为“优”。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坚持把培育、发展和提升科技创新平台作为实施创新驱动发展战略的重要抓手，</w:t>
      </w:r>
      <w:r>
        <w:rPr>
          <w:rFonts w:ascii="Times New Roman" w:cs="Times New Roman" w:hAnsiTheme="majorEastAsia" w:eastAsiaTheme="majorEastAsia"/>
          <w:color w:val="000000"/>
          <w:sz w:val="21"/>
          <w:lang w:eastAsia="zh-CN"/>
        </w:rPr>
        <w:t>集中精力推动平台在打造“国”、“省”字号平台上提档升级。</w:t>
      </w:r>
      <w:r>
        <w:rPr>
          <w:rFonts w:hint="eastAsia" w:ascii="Times New Roman" w:cs="Times New Roman" w:hAnsiTheme="majorEastAsia" w:eastAsiaTheme="majorEastAsia"/>
          <w:color w:val="000000"/>
          <w:sz w:val="21"/>
          <w:lang w:eastAsia="zh-CN"/>
        </w:rPr>
        <w:t>一是推进新型研发机构建设。科技局与相关镇区、企业，围绕省列统新型研发机构要求，列出推进清单，加强指导，逐个达标。目前正在加快推进斯密特森与中科院长春光机所共建的长光星辰科技、江苏汤臣与北方车辆研究所共建的北方汤臣传动科技等新型研发机构。二是提升企业研发机构质态。重点培育运行质态较好的南通市工程技术研究中心升级为省级工程技术研究中心，今年宏茂锻压、更美科技、</w:t>
      </w:r>
      <w:r>
        <w:rPr>
          <w:rFonts w:ascii="Times New Roman" w:cs="Times New Roman" w:hAnsiTheme="majorEastAsia" w:eastAsiaTheme="majorEastAsia"/>
          <w:color w:val="000000"/>
          <w:sz w:val="21"/>
          <w:lang w:eastAsia="zh-CN"/>
        </w:rPr>
        <w:t>奕隆机电</w:t>
      </w:r>
      <w:r>
        <w:rPr>
          <w:rFonts w:hint="eastAsia" w:ascii="Times New Roman" w:cs="Times New Roman" w:hAnsiTheme="majorEastAsia" w:eastAsiaTheme="majorEastAsia"/>
          <w:color w:val="000000"/>
          <w:sz w:val="21"/>
          <w:lang w:eastAsia="zh-CN"/>
        </w:rPr>
        <w:t>、凯迅达传动4家企业获得省工程技术研究中心立项。新瑞药业、力星钢球分别获得省研发机构创新大赛生物医药组、短视频一等奖，中铁山桥、汤臣汽配、力星钢球获得智能制造组二等奖，获奖数量取得历史性突破。三是对已建工程技术研究中心，实行绩效管理。2023年，力星钢球、汤臣汽车、双钱集团等20家企业接受了省科技厅的工程技术研究中心绩效考核，合格率95%，其中力星钢球、星球石墨、斯密特森等7家单位获得绩效评估优秀，有力地支撑了企业高质量发展。同时出台《2023年企业工程技术研究中心绩效评估办法》，并列入对镇区的科技创新考核，让企业明确创新发展的重点和方向，确保企业研发机构良性运转。</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（二）项目资金使用情况：项目预期投入15 万元，实际投入15万元，实际支出 15万元，财政预算完成率100%。 项目资金主要用于平台的维护费用、软件优化等。</w:t>
      </w:r>
    </w:p>
    <w:p>
      <w:pPr>
        <w:pStyle w:val="10"/>
        <w:widowControl w:val="0"/>
        <w:pBdr>
          <w:top w:val="single" w:color="auto" w:sz="4" w:space="0"/>
          <w:left w:val="single" w:color="auto" w:sz="4" w:space="0"/>
          <w:bottom w:val="single" w:color="auto" w:sz="4" w:space="0"/>
          <w:right w:val="single" w:color="auto" w:sz="4" w:space="0"/>
        </w:pBdr>
        <w:spacing w:before="0" w:after="0" w:line="24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四、存在问题</w:t>
      </w:r>
    </w:p>
    <w:p>
      <w:pPr>
        <w:pStyle w:val="10"/>
        <w:widowControl w:val="0"/>
        <w:pBdr>
          <w:top w:val="single" w:color="auto" w:sz="4" w:space="0"/>
          <w:left w:val="single" w:color="auto" w:sz="4" w:space="0"/>
          <w:bottom w:val="single" w:color="auto" w:sz="4" w:space="0"/>
          <w:right w:val="single" w:color="auto" w:sz="4" w:space="0"/>
        </w:pBdr>
        <w:spacing w:before="0" w:after="0" w:line="24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无。</w:t>
      </w:r>
    </w:p>
    <w:p>
      <w:pPr>
        <w:pStyle w:val="10"/>
        <w:widowControl w:val="0"/>
        <w:pBdr>
          <w:top w:val="single" w:color="auto" w:sz="4" w:space="0"/>
          <w:left w:val="single" w:color="auto" w:sz="4" w:space="0"/>
          <w:bottom w:val="single" w:color="auto" w:sz="4" w:space="0"/>
          <w:right w:val="single" w:color="auto" w:sz="4" w:space="0"/>
        </w:pBdr>
        <w:spacing w:before="0" w:after="0" w:line="24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五、</w:t>
      </w:r>
      <w:r>
        <w:rPr>
          <w:rFonts w:ascii="Times New Roman" w:cs="Times New Roman" w:hAnsiTheme="majorEastAsia" w:eastAsiaTheme="majorEastAsia"/>
          <w:color w:val="000000"/>
          <w:sz w:val="21"/>
          <w:lang w:eastAsia="zh-CN"/>
        </w:rPr>
        <w:t>有关建议</w:t>
      </w:r>
    </w:p>
    <w:p>
      <w:pPr>
        <w:pStyle w:val="10"/>
        <w:widowControl w:val="0"/>
        <w:pBdr>
          <w:top w:val="single" w:color="auto" w:sz="4" w:space="0"/>
          <w:left w:val="single" w:color="auto" w:sz="4" w:space="0"/>
          <w:bottom w:val="single" w:color="auto" w:sz="4" w:space="0"/>
          <w:right w:val="single" w:color="auto" w:sz="4" w:space="0"/>
        </w:pBdr>
        <w:spacing w:before="0" w:after="0" w:line="24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严格执行各类财政性专项资金使用管理办法和制度，实行专款专用，确保资金支出的合法性、真实性，并建立、健全和完善专项资金内部管理制度。</w:t>
      </w:r>
    </w:p>
    <w:p>
      <w:pPr>
        <w:pStyle w:val="10"/>
        <w:widowControl w:val="0"/>
        <w:pBdr>
          <w:top w:val="single" w:color="auto" w:sz="4" w:space="0"/>
          <w:left w:val="single" w:color="auto" w:sz="4" w:space="0"/>
          <w:bottom w:val="single" w:color="auto" w:sz="4" w:space="0"/>
          <w:right w:val="single" w:color="auto" w:sz="4" w:space="0"/>
        </w:pBdr>
        <w:spacing w:before="0" w:after="0" w:line="560" w:lineRule="exact"/>
        <w:jc w:val="left"/>
        <w:rPr>
          <w:rFonts w:ascii="APQONC+å®ä½" w:hAnsi="APQONC+å®ä½" w:cs="APQONC+å®ä½"/>
          <w:color w:val="000000"/>
          <w:sz w:val="21"/>
          <w:lang w:eastAsia="zh-CN"/>
        </w:rPr>
        <w:sectPr>
          <w:pgSz w:w="11900" w:h="16820"/>
          <w:pgMar w:top="1609" w:right="1474" w:bottom="1191" w:left="1644" w:header="720" w:footer="720" w:gutter="0"/>
          <w:pgNumType w:fmt="numberInDash" w:start="1"/>
          <w:cols w:space="720" w:num="1"/>
          <w:docGrid w:linePitch="1" w:charSpace="0"/>
        </w:sectPr>
      </w:pP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400" w:lineRule="exact"/>
        <w:jc w:val="left"/>
        <w:rPr>
          <w:rFonts w:ascii="宋体" w:hAnsi="宋体" w:eastAsia="宋体" w:cs="宋体"/>
          <w:color w:val="000000"/>
          <w:sz w:val="18"/>
          <w:u w:val="single"/>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科技综合服务平台建设维护费</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99.99%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对接项目</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正常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正常</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产学研合作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促进</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促进</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平台日常维护</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及时</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及时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15万元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15万元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新建和培育各级创新平台</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6家</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12家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产学研合作支出额</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1000</w:t>
            </w:r>
            <w:r>
              <w:rPr>
                <w:rFonts w:hint="eastAsia" w:asciiTheme="majorEastAsia" w:hAnsiTheme="majorEastAsia" w:eastAsiaTheme="majorEastAsia"/>
                <w:b w:val="0"/>
                <w:sz w:val="20"/>
                <w:szCs w:val="20"/>
              </w:rPr>
              <w:t>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2000</w:t>
            </w:r>
            <w:r>
              <w:rPr>
                <w:rFonts w:hint="eastAsia" w:asciiTheme="majorEastAsia" w:hAnsiTheme="majorEastAsia" w:eastAsiaTheme="majorEastAsia"/>
                <w:b w:val="0"/>
                <w:sz w:val="20"/>
                <w:szCs w:val="20"/>
              </w:rPr>
              <w:t>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2"/>
                <w:szCs w:val="22"/>
              </w:rPr>
            </w:pPr>
            <w:r>
              <w:rPr>
                <w:rFonts w:hint="eastAsia" w:cs="宋体" w:asciiTheme="majorEastAsia" w:hAnsiTheme="majorEastAsia" w:eastAsiaTheme="majorEastAsia"/>
                <w:b w:val="0"/>
                <w:color w:val="000000"/>
                <w:sz w:val="16"/>
                <w:szCs w:val="16"/>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平台影响力</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深远</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深远</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对科技创新促进（4分）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16"/>
                <w:szCs w:val="16"/>
              </w:rPr>
            </w:pPr>
            <w:r>
              <w:rPr>
                <w:rFonts w:hint="eastAsia" w:ascii="宋体" w:hAnsi="宋体" w:eastAsia="宋体" w:cs="宋体"/>
                <w:b w:val="0"/>
                <w:color w:val="000000"/>
                <w:sz w:val="16"/>
                <w:szCs w:val="16"/>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使用人员满意度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cs="宋体" w:asciiTheme="majorEastAsia" w:hAnsiTheme="majorEastAsia" w:eastAsiaTheme="majorEastAsia"/>
                <w:b w:val="0"/>
                <w:color w:val="000000"/>
                <w:sz w:val="16"/>
                <w:szCs w:val="16"/>
              </w:rPr>
              <w:t>满意度达 95%以上（8分），低于 95%按比例扣分</w:t>
            </w:r>
          </w:p>
        </w:tc>
      </w:tr>
      <w:tr>
        <w:tblPrEx>
          <w:tblCellMar>
            <w:top w:w="0" w:type="dxa"/>
            <w:left w:w="108" w:type="dxa"/>
            <w:bottom w:w="0" w:type="dxa"/>
            <w:right w:w="108" w:type="dxa"/>
          </w:tblCellMar>
        </w:tblPrEx>
        <w:trPr>
          <w:trHeight w:val="491"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pStyle w:val="9"/>
        <w:widowControl w:val="0"/>
        <w:spacing w:beforeLines="100" w:afterLines="100" w:line="46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24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240" w:lineRule="exact"/>
        <w:jc w:val="left"/>
        <w:rPr>
          <w:rFonts w:ascii="APQONC+å®ä½" w:hAnsi="APQONC+å®ä½" w:cs="APQONC+å®ä½"/>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科普活动（科技馆维护）</w:t>
      </w:r>
    </w:p>
    <w:p>
      <w:pPr>
        <w:pStyle w:val="10"/>
        <w:widowControl w:val="0"/>
        <w:spacing w:before="0" w:after="0" w:line="24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24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ascii="Calibri" w:hAnsi="Calibri" w:eastAsia="宋体" w:cs="Times New Roman"/>
          <w:szCs w:val="32"/>
          <w:lang w:eastAsia="zh-CN"/>
        </w:rPr>
        <w:t>《市委办公室  市政府办公室</w:t>
      </w:r>
      <w:r>
        <w:rPr>
          <w:rFonts w:hint="eastAsia" w:ascii="Calibri" w:hAnsi="Calibri" w:eastAsia="宋体" w:cs="Times New Roman"/>
          <w:szCs w:val="32"/>
          <w:lang w:eastAsia="zh-CN"/>
        </w:rPr>
        <w:t>关于</w:t>
      </w:r>
      <w:r>
        <w:rPr>
          <w:rFonts w:ascii="Calibri" w:hAnsi="Calibri" w:eastAsia="宋体" w:cs="Times New Roman"/>
          <w:szCs w:val="32"/>
          <w:lang w:eastAsia="zh-CN"/>
        </w:rPr>
        <w:t>印发〈加快建设科技强市 推动创新型示范县市高质量发展的激励意见〉的通知》（皋办〔202</w:t>
      </w:r>
      <w:r>
        <w:rPr>
          <w:rFonts w:hint="eastAsia" w:ascii="Calibri" w:hAnsi="Calibri" w:eastAsia="宋体" w:cs="Times New Roman"/>
          <w:szCs w:val="32"/>
          <w:lang w:eastAsia="zh-CN"/>
        </w:rPr>
        <w:t>2</w:t>
      </w:r>
      <w:r>
        <w:rPr>
          <w:rFonts w:ascii="Calibri" w:hAnsi="Calibri" w:eastAsia="宋体" w:cs="Times New Roman"/>
          <w:szCs w:val="32"/>
          <w:lang w:eastAsia="zh-CN"/>
        </w:rPr>
        <w:t>〕</w:t>
      </w:r>
      <w:r>
        <w:rPr>
          <w:rFonts w:hint="eastAsia" w:ascii="Calibri" w:hAnsi="Calibri" w:eastAsia="宋体" w:cs="Times New Roman"/>
          <w:szCs w:val="32"/>
          <w:lang w:eastAsia="zh-CN"/>
        </w:rPr>
        <w:t>44</w:t>
      </w:r>
      <w:r>
        <w:rPr>
          <w:rFonts w:ascii="Calibri" w:hAnsi="Calibri" w:eastAsia="宋体" w:cs="Times New Roman"/>
          <w:szCs w:val="32"/>
          <w:lang w:eastAsia="zh-CN"/>
        </w:rPr>
        <w:t>号）</w:t>
      </w:r>
      <w:r>
        <w:rPr>
          <w:rFonts w:hint="eastAsia" w:ascii="Times New Roman" w:cs="Times New Roman" w:hAnsiTheme="majorEastAsia" w:eastAsiaTheme="majorEastAsia"/>
          <w:color w:val="000000"/>
          <w:sz w:val="21"/>
          <w:lang w:eastAsia="zh-CN"/>
        </w:rPr>
        <w:t>、市科技局职能。</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cs="Times New Roman" w:hAnsiTheme="majorEastAsia" w:eastAsiaTheme="majorEastAsia"/>
          <w:color w:val="000000"/>
          <w:sz w:val="21"/>
          <w:lang w:eastAsia="zh-CN"/>
        </w:rPr>
        <w:t>资金分配使用：如皋市科学技术局</w:t>
      </w:r>
      <w:r>
        <w:rPr>
          <w:rFonts w:ascii="Times New Roman" w:hAnsi="Times New Roman" w:cs="Times New Roman" w:eastAsiaTheme="majorEastAsia"/>
          <w:color w:val="000000"/>
          <w:sz w:val="21"/>
          <w:lang w:eastAsia="zh-CN"/>
        </w:rPr>
        <w:t>202</w:t>
      </w:r>
      <w:r>
        <w:rPr>
          <w:rFonts w:hint="eastAsia" w:ascii="Times New Roman" w:hAnsi="Times New Roman" w:cs="Times New Roman" w:eastAsiaTheme="majorEastAsia"/>
          <w:color w:val="000000"/>
          <w:sz w:val="21"/>
          <w:lang w:eastAsia="zh-CN"/>
        </w:rPr>
        <w:t>3</w:t>
      </w:r>
      <w:r>
        <w:rPr>
          <w:rFonts w:ascii="Times New Roman" w:cs="Times New Roman" w:hAnsiTheme="majorEastAsia" w:eastAsiaTheme="majorEastAsia"/>
          <w:color w:val="000000"/>
          <w:sz w:val="21"/>
          <w:lang w:eastAsia="zh-CN"/>
        </w:rPr>
        <w:t>年</w:t>
      </w:r>
      <w:r>
        <w:rPr>
          <w:rFonts w:hint="eastAsia" w:ascii="Times New Roman" w:cs="Times New Roman" w:hAnsiTheme="majorEastAsia" w:eastAsiaTheme="majorEastAsia"/>
          <w:color w:val="000000"/>
          <w:sz w:val="21"/>
          <w:lang w:eastAsia="zh-CN"/>
        </w:rPr>
        <w:t>科普活动（科技馆维护等）</w:t>
      </w:r>
      <w:r>
        <w:rPr>
          <w:rFonts w:ascii="Times New Roman" w:cs="Times New Roman" w:hAnsiTheme="majorEastAsia" w:eastAsiaTheme="majorEastAsia"/>
          <w:color w:val="000000"/>
          <w:sz w:val="21"/>
          <w:lang w:eastAsia="zh-CN"/>
        </w:rPr>
        <w:t>年初预算</w:t>
      </w:r>
      <w:r>
        <w:rPr>
          <w:rFonts w:hint="eastAsia" w:ascii="Times New Roman" w:cs="Times New Roman" w:hAnsiTheme="majorEastAsia" w:eastAsiaTheme="majorEastAsia"/>
          <w:color w:val="000000"/>
          <w:sz w:val="21"/>
          <w:lang w:eastAsia="zh-CN"/>
        </w:rPr>
        <w:t>35</w:t>
      </w:r>
      <w:r>
        <w:rPr>
          <w:rFonts w:ascii="Times New Roman" w:cs="Times New Roman" w:hAnsiTheme="majorEastAsia" w:eastAsiaTheme="majorEastAsia"/>
          <w:color w:val="000000"/>
          <w:sz w:val="21"/>
          <w:lang w:eastAsia="zh-CN"/>
        </w:rPr>
        <w:t>万元。</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（三）项目实施情况：</w:t>
      </w:r>
      <w:r>
        <w:rPr>
          <w:rFonts w:ascii="Times New Roman" w:cs="Times New Roman" w:hAnsiTheme="majorEastAsia" w:eastAsiaTheme="majorEastAsia"/>
          <w:color w:val="000000"/>
          <w:sz w:val="21"/>
          <w:lang w:eastAsia="zh-CN"/>
        </w:rPr>
        <w:t>如皋市科技馆</w:t>
      </w:r>
      <w:r>
        <w:rPr>
          <w:rFonts w:hint="eastAsia" w:ascii="Times New Roman" w:cs="Times New Roman" w:hAnsiTheme="majorEastAsia" w:eastAsiaTheme="majorEastAsia"/>
          <w:color w:val="000000"/>
          <w:sz w:val="21"/>
          <w:lang w:eastAsia="zh-CN"/>
        </w:rPr>
        <w:t>主要职责是普及科学知识，传播科学方法，弘扬科学精神，提升民众的科学素养，作为科普工作的阵地，推动科普工作更好更快发展。2023年如皋市科技馆开展主题性、参与性、群众性科普活动，将科普工作深入学校和社区，推动形成社会广泛参与科普的良性互动机制，并联结中小学教职工，开展公众科学传播、科技辅导员、科普活动组织策划等专题培训，推动科普队伍建设，更好的发挥场馆优势，提高育人效果，为青少年积极参与科学探究提供优质平台，激发未成年人对科学的浓厚兴趣。</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二、评价情况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（四）自我评价情况。项目达到了预期的目标，资金使用有效。评价得分99分，评价等次为“优”。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w:t>
      </w:r>
      <w:r>
        <w:rPr>
          <w:rFonts w:hint="eastAsia" w:ascii="Times New Roman" w:hAnsi="宋体" w:eastAsia="宋体" w:cs="Times New Roman"/>
          <w:color w:val="000000"/>
          <w:sz w:val="21"/>
          <w:lang w:eastAsia="zh-CN"/>
        </w:rPr>
        <w:t>一是强化宣传力度营造科学氛围。充分发挥了电视、报纸、网络及移动通信等媒体覆盖面广、传播速度快、直观效果好的优势，开设科技科普专栏，打造科技科普宣传主阵地，运用现代信息技术手段开展科技科普宣传。在</w:t>
      </w:r>
      <w:r>
        <w:rPr>
          <w:rFonts w:hint="eastAsia" w:ascii="Times New Roman" w:cs="Times New Roman" w:hAnsiTheme="majorEastAsia" w:eastAsiaTheme="majorEastAsia"/>
          <w:color w:val="000000"/>
          <w:sz w:val="21"/>
          <w:lang w:eastAsia="zh-CN"/>
        </w:rPr>
        <w:t>各宣传</w:t>
      </w:r>
      <w:r>
        <w:rPr>
          <w:rFonts w:hint="eastAsia" w:ascii="Times New Roman" w:hAnsi="宋体" w:eastAsia="宋体" w:cs="Times New Roman"/>
          <w:color w:val="000000"/>
          <w:sz w:val="21"/>
          <w:lang w:eastAsia="zh-CN"/>
        </w:rPr>
        <w:t>平台积极推送了各类科普相关信息</w:t>
      </w:r>
      <w:r>
        <w:rPr>
          <w:rFonts w:hint="eastAsia" w:ascii="Times New Roman" w:cs="Times New Roman" w:hAnsiTheme="majorEastAsia" w:eastAsiaTheme="majorEastAsia"/>
          <w:color w:val="000000"/>
          <w:sz w:val="21"/>
          <w:lang w:eastAsia="zh-CN"/>
        </w:rPr>
        <w:t>。</w:t>
      </w:r>
      <w:r>
        <w:rPr>
          <w:rFonts w:hint="eastAsia" w:ascii="Times New Roman" w:hAnsi="宋体" w:eastAsia="宋体" w:cs="Times New Roman"/>
          <w:color w:val="000000"/>
          <w:sz w:val="21"/>
          <w:lang w:eastAsia="zh-CN"/>
        </w:rPr>
        <w:t>二是打造平台阵地彰显科技魅力。将如皋市创新体验中心作为科技科普分中心新时代文明实践的展示窗口、科学普及新技术、新产业的平台载体；根据建设要求和百姓需要，定期对安定广场科普宣传画廊做好内容更新，更好展现时代特色；依托科技馆的产业科技、科技生活、超感影院和科技长廊展区，开展各类科普活动，弘扬新时代科学精神，推广新科技助力美好生活，让更多市民从科学知识宣传中受益</w:t>
      </w:r>
      <w:r>
        <w:rPr>
          <w:rFonts w:ascii="Times New Roman" w:cs="Times New Roman" w:hAnsiTheme="majorEastAsia" w:eastAsiaTheme="majorEastAsia"/>
          <w:color w:val="000000"/>
          <w:sz w:val="21"/>
          <w:lang w:eastAsia="zh-CN"/>
        </w:rPr>
        <w:t>。</w:t>
      </w:r>
      <w:r>
        <w:rPr>
          <w:rFonts w:hint="eastAsia" w:ascii="Times New Roman" w:hAnsi="宋体" w:eastAsia="宋体" w:cs="Times New Roman"/>
          <w:color w:val="000000"/>
          <w:sz w:val="21"/>
          <w:lang w:eastAsia="zh-CN"/>
        </w:rPr>
        <w:t>三是开展丰富活动提升科普质效。今年来，以科技工作人员为核心，发挥工作优势，广泛开展了</w:t>
      </w:r>
      <w:r>
        <w:rPr>
          <w:rFonts w:hint="eastAsia" w:ascii="Times New Roman" w:cs="Times New Roman" w:hAnsiTheme="majorEastAsia" w:eastAsiaTheme="majorEastAsia"/>
          <w:color w:val="000000"/>
          <w:sz w:val="21"/>
          <w:lang w:eastAsia="zh-CN"/>
        </w:rPr>
        <w:t>形式多样的</w:t>
      </w:r>
      <w:r>
        <w:rPr>
          <w:rFonts w:hint="eastAsia" w:ascii="Times New Roman" w:hAnsi="宋体" w:eastAsia="宋体" w:cs="Times New Roman"/>
          <w:color w:val="000000"/>
          <w:sz w:val="21"/>
          <w:lang w:eastAsia="zh-CN"/>
        </w:rPr>
        <w:t>科普宣传活动，普及科学知识，提升全民素质；开展涉企科技服务活动，赴各镇区宣传高企培育、产学研合作等科技政策，助力如皋高质量发展</w:t>
      </w:r>
      <w:r>
        <w:rPr>
          <w:rFonts w:ascii="Times New Roman" w:cs="Times New Roman" w:hAnsiTheme="majorEastAsia"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宋体" w:eastAsia="宋体" w:cs="Times New Roman"/>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（二）项目资金使用情况：项目预期投入35万元，实际投入35万元，实际支出20万元，财政预算完成率57.14%。执行率较低原因是因为15万元项目经费未到位。 项目资金主要用于新时代文明建设、送科技下乡等科普活动场地费、宣传费等、科技馆维护费用</w:t>
      </w:r>
      <w:r>
        <w:rPr>
          <w:rFonts w:hint="eastAsia" w:ascii="Times New Roman" w:hAnsi="宋体" w:eastAsia="宋体" w:cs="Times New Roman"/>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宋体" w:eastAsia="宋体" w:cs="Times New Roman"/>
          <w:color w:val="000000"/>
          <w:sz w:val="21"/>
          <w:lang w:eastAsia="zh-CN"/>
        </w:rPr>
      </w:pPr>
      <w:r>
        <w:rPr>
          <w:rFonts w:ascii="Times New Roman" w:hAnsi="宋体" w:eastAsia="宋体" w:cs="Times New Roman"/>
          <w:color w:val="000000"/>
          <w:sz w:val="21"/>
          <w:lang w:eastAsia="zh-CN"/>
        </w:rPr>
        <w:t>四、存在问题</w:t>
      </w:r>
      <w:r>
        <w:rPr>
          <w:rFonts w:hint="eastAsia" w:ascii="Times New Roman" w:hAnsi="宋体" w:eastAsia="宋体" w:cs="Times New Roman"/>
          <w:color w:val="000000"/>
          <w:sz w:val="21"/>
          <w:lang w:eastAsia="zh-CN"/>
        </w:rPr>
        <w:t>：无。</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ind w:firstLine="420" w:firstLineChars="200"/>
        <w:jc w:val="left"/>
        <w:rPr>
          <w:rFonts w:ascii="Times New Roman" w:hAnsi="宋体" w:eastAsia="宋体" w:cs="Times New Roman"/>
          <w:color w:val="000000"/>
          <w:sz w:val="21"/>
          <w:lang w:eastAsia="zh-CN"/>
        </w:rPr>
        <w:sectPr>
          <w:pgSz w:w="11900" w:h="16820"/>
          <w:pgMar w:top="1609" w:right="1474" w:bottom="1191" w:left="1644" w:header="720" w:footer="720" w:gutter="0"/>
          <w:pgNumType w:fmt="numberInDash" w:start="1"/>
          <w:cols w:space="720" w:num="1"/>
          <w:docGrid w:linePitch="1" w:charSpace="0"/>
        </w:sectPr>
      </w:pPr>
      <w:r>
        <w:rPr>
          <w:rFonts w:hint="eastAsia" w:ascii="Times New Roman" w:hAnsi="宋体" w:eastAsia="宋体" w:cs="Times New Roman"/>
          <w:color w:val="000000"/>
          <w:sz w:val="21"/>
          <w:lang w:eastAsia="zh-CN"/>
        </w:rPr>
        <w:t>五、</w:t>
      </w:r>
      <w:r>
        <w:rPr>
          <w:rFonts w:ascii="Times New Roman" w:hAnsi="宋体" w:eastAsia="宋体" w:cs="Times New Roman"/>
          <w:color w:val="000000"/>
          <w:sz w:val="21"/>
          <w:lang w:eastAsia="zh-CN"/>
        </w:rPr>
        <w:t>有关建议</w:t>
      </w:r>
      <w:r>
        <w:rPr>
          <w:rFonts w:hint="eastAsia" w:ascii="Times New Roman" w:hAnsi="宋体" w:eastAsia="宋体" w:cs="Times New Roman"/>
          <w:color w:val="000000"/>
          <w:sz w:val="21"/>
          <w:lang w:eastAsia="zh-CN"/>
        </w:rPr>
        <w:t>：1.</w:t>
      </w:r>
      <w:r>
        <w:rPr>
          <w:rFonts w:ascii="Times New Roman" w:hAnsi="宋体" w:eastAsia="宋体" w:cs="Times New Roman"/>
          <w:color w:val="000000"/>
          <w:sz w:val="21"/>
          <w:lang w:eastAsia="zh-CN"/>
        </w:rPr>
        <w:t>加强项目实施过程管理和中期管理；合理制定项目实施计划，质量指标设置，使项目达到预期目标；健全财务管理制度，确定资金支出结构，规范资金的使用比例，做到专款专用，对资金使用的合规性与使用进度进行有效监控</w:t>
      </w:r>
      <w:r>
        <w:rPr>
          <w:rFonts w:hint="eastAsia" w:ascii="Times New Roman" w:hAnsi="宋体" w:eastAsia="宋体" w:cs="Times New Roman"/>
          <w:color w:val="000000"/>
          <w:sz w:val="21"/>
          <w:lang w:eastAsia="zh-CN"/>
        </w:rPr>
        <w:t>；2.</w:t>
      </w:r>
      <w:r>
        <w:rPr>
          <w:rFonts w:ascii="Times New Roman" w:hAnsi="宋体" w:eastAsia="宋体" w:cs="Times New Roman"/>
          <w:color w:val="000000"/>
          <w:sz w:val="21"/>
          <w:lang w:eastAsia="zh-CN"/>
        </w:rPr>
        <w:t xml:space="preserve"> 加强项目绩效管理，制定指向明确、具体细化和合理可行的总体绩效目标、年度绩效目标和绩效管理责任。提高财政资金使用效益</w:t>
      </w:r>
      <w:r>
        <w:rPr>
          <w:rFonts w:hint="eastAsia" w:ascii="Times New Roman" w:hAnsi="宋体" w:eastAsia="宋体" w:cs="Times New Roman"/>
          <w:color w:val="000000"/>
          <w:sz w:val="21"/>
          <w:lang w:eastAsia="zh-CN"/>
        </w:rPr>
        <w:t>。</w:t>
      </w:r>
    </w:p>
    <w:p>
      <w:pPr>
        <w:pStyle w:val="9"/>
        <w:widowControl w:val="0"/>
        <w:spacing w:beforeLines="100" w:afterLines="100" w:line="3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260" w:lineRule="exact"/>
        <w:jc w:val="left"/>
        <w:rPr>
          <w:rFonts w:ascii="APQONC+å®ä½" w:hAnsi="APQONC+å®ä½" w:cs="APQONC+å®ä½"/>
          <w:color w:val="000000"/>
          <w:sz w:val="18"/>
          <w:u w:val="single"/>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科普活动（科技馆维护）</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2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57.14%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99.99%</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09"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送科技下乡、新时代文明实践活动</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w:t>
            </w:r>
            <w:r>
              <w:rPr>
                <w:rFonts w:hint="eastAsia" w:asciiTheme="majorEastAsia" w:hAnsiTheme="majorEastAsia" w:eastAsiaTheme="majorEastAsia"/>
                <w:b w:val="0"/>
                <w:sz w:val="20"/>
                <w:szCs w:val="20"/>
              </w:rPr>
              <w:t>0</w:t>
            </w:r>
            <w:r>
              <w:rPr>
                <w:rFonts w:asciiTheme="majorEastAsia" w:hAnsiTheme="majorEastAsia" w:eastAsiaTheme="majorEastAsia"/>
                <w:b w:val="0"/>
                <w:sz w:val="20"/>
                <w:szCs w:val="20"/>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w:t>
            </w:r>
            <w:r>
              <w:rPr>
                <w:rFonts w:hint="eastAsia" w:asciiTheme="majorEastAsia" w:hAnsiTheme="majorEastAsia" w:eastAsiaTheme="majorEastAsia"/>
                <w:b w:val="0"/>
                <w:sz w:val="20"/>
                <w:szCs w:val="20"/>
              </w:rPr>
              <w:t>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活动效果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科技知识普及，宣传科技政策</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及时</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及时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8</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按序时进度完成（8分）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35万元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20万元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完成年初目标（6分）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科学素养</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提高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提高</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完成年初目标（6分），低于按比例扣分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推动科普工作</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textAlignment w:val="bottom"/>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发展</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bottom"/>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2"/>
                <w:szCs w:val="22"/>
              </w:rPr>
            </w:pPr>
            <w:r>
              <w:rPr>
                <w:rFonts w:hint="eastAsia" w:cs="宋体" w:asciiTheme="majorEastAsia" w:hAnsiTheme="majorEastAsia" w:eastAsiaTheme="majorEastAsia"/>
                <w:b w:val="0"/>
                <w:color w:val="000000"/>
                <w:sz w:val="16"/>
                <w:szCs w:val="16"/>
              </w:rPr>
              <w:t>完成年初目标（10分），低于按比例扣分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科普工作发展</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推动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推动</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Theme="majorEastAsia" w:hAnsiTheme="majorEastAsia" w:eastAsiaTheme="majorEastAsia"/>
                <w:b w:val="0"/>
                <w:sz w:val="20"/>
                <w:szCs w:val="20"/>
              </w:rPr>
            </w:pPr>
            <w:r>
              <w:rPr>
                <w:rFonts w:hint="eastAsia" w:cs="宋体" w:asciiTheme="majorEastAsia" w:hAnsiTheme="majorEastAsia" w:eastAsiaTheme="majorEastAsia"/>
                <w:b w:val="0"/>
                <w:color w:val="000000"/>
                <w:sz w:val="16"/>
                <w:szCs w:val="16"/>
              </w:rPr>
              <w:t>完成年初目标（6分），低于按比例扣分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活动对象满意度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180" w:lineRule="exact"/>
              <w:jc w:val="center"/>
              <w:rPr>
                <w:rFonts w:ascii="宋体" w:hAnsi="宋体" w:eastAsia="宋体" w:cs="宋体"/>
                <w:b w:val="0"/>
                <w:color w:val="000000"/>
                <w:sz w:val="20"/>
                <w:szCs w:val="20"/>
              </w:rPr>
            </w:pPr>
            <w:r>
              <w:rPr>
                <w:rFonts w:hint="eastAsia" w:cs="宋体" w:asciiTheme="majorEastAsia" w:hAnsiTheme="majorEastAsia" w:eastAsiaTheme="majorEastAsia"/>
                <w:b w:val="0"/>
                <w:color w:val="000000"/>
                <w:sz w:val="16"/>
                <w:szCs w:val="16"/>
              </w:rPr>
              <w:t>满意度达 95%以上（2分），低于 95%按比例扣分</w:t>
            </w:r>
          </w:p>
        </w:tc>
      </w:tr>
      <w:tr>
        <w:tblPrEx>
          <w:tblCellMar>
            <w:top w:w="0" w:type="dxa"/>
            <w:left w:w="108" w:type="dxa"/>
            <w:bottom w:w="0" w:type="dxa"/>
            <w:right w:w="108" w:type="dxa"/>
          </w:tblCellMar>
        </w:tblPrEx>
        <w:trPr>
          <w:trHeight w:val="41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96</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pPr>
        <w:rPr>
          <w:rFonts w:hint="eastAsia"/>
        </w:rPr>
      </w:pPr>
    </w:p>
    <w:p>
      <w:pPr>
        <w:rPr>
          <w:rFonts w:hint="eastAsia"/>
        </w:rPr>
      </w:pPr>
    </w:p>
    <w:p>
      <w:pPr>
        <w:pStyle w:val="9"/>
        <w:widowControl w:val="0"/>
        <w:spacing w:beforeLines="100" w:afterLines="100" w:line="460" w:lineRule="exact"/>
        <w:jc w:val="center"/>
        <w:rPr>
          <w:rFonts w:hint="eastAsia" w:ascii="方正小标宋简体" w:hAnsi="方正小标宋简体" w:eastAsia="方正小标宋简体" w:cs="方正小标宋简体"/>
          <w:color w:val="000000"/>
          <w:sz w:val="44"/>
          <w:lang w:eastAsia="zh-CN"/>
        </w:rPr>
      </w:pPr>
    </w:p>
    <w:p>
      <w:pPr>
        <w:pStyle w:val="9"/>
        <w:widowControl w:val="0"/>
        <w:spacing w:beforeLines="100" w:afterLines="100" w:line="4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2023年项目支出绩效自评价情况表</w:t>
      </w:r>
    </w:p>
    <w:p>
      <w:pPr>
        <w:pStyle w:val="10"/>
        <w:widowControl w:val="0"/>
        <w:spacing w:before="0" w:after="0" w:line="240" w:lineRule="exact"/>
        <w:jc w:val="left"/>
        <w:rPr>
          <w:rFonts w:ascii="宋体" w:hAnsi="宋体" w:eastAsia="宋体" w:cs="宋体"/>
          <w:color w:val="000000"/>
          <w:sz w:val="18"/>
          <w:lang w:eastAsia="zh-CN"/>
        </w:rPr>
      </w:pPr>
      <w:r>
        <w:rPr>
          <w:rFonts w:ascii="APQONC+å®ä½" w:hAnsi="APQONC+å®ä½" w:cs="APQONC+å®ä½"/>
          <w:color w:val="000000"/>
          <w:sz w:val="18"/>
          <w:lang w:eastAsia="zh-CN"/>
        </w:rPr>
        <w:t>填报单位：</w:t>
      </w:r>
      <w:r>
        <w:rPr>
          <w:rFonts w:hint="eastAsia" w:ascii="宋体" w:hAnsi="宋体" w:eastAsia="宋体" w:cs="宋体"/>
          <w:color w:val="000000"/>
          <w:sz w:val="18"/>
          <w:u w:val="single"/>
          <w:lang w:eastAsia="zh-CN"/>
        </w:rPr>
        <w:t xml:space="preserve">如皋市科学技术局 </w:t>
      </w:r>
    </w:p>
    <w:p>
      <w:pPr>
        <w:pStyle w:val="10"/>
        <w:widowControl w:val="0"/>
        <w:spacing w:before="0" w:after="0" w:line="240" w:lineRule="exact"/>
        <w:jc w:val="left"/>
        <w:rPr>
          <w:rFonts w:ascii="APQONC+å®ä½" w:hAnsi="APQONC+å®ä½" w:cs="APQONC+å®ä½"/>
          <w:color w:val="000000"/>
          <w:sz w:val="18"/>
          <w:u w:val="single"/>
          <w:lang w:eastAsia="zh-CN"/>
        </w:rPr>
      </w:pPr>
      <w:r>
        <w:rPr>
          <w:rFonts w:ascii="APQONC+å®ä½" w:hAnsi="APQONC+å®ä½" w:cs="APQONC+å®ä½"/>
          <w:color w:val="000000"/>
          <w:sz w:val="18"/>
          <w:lang w:eastAsia="zh-CN"/>
        </w:rPr>
        <w:t>项目名称</w:t>
      </w:r>
      <w:r>
        <w:rPr>
          <w:rFonts w:hint="eastAsia" w:ascii="APQONC+å®ä½" w:hAnsi="APQONC+å®ä½" w:cs="APQONC+å®ä½"/>
          <w:color w:val="000000"/>
          <w:sz w:val="18"/>
          <w:lang w:eastAsia="zh-CN"/>
        </w:rPr>
        <w:t>：</w:t>
      </w:r>
      <w:r>
        <w:rPr>
          <w:rFonts w:hint="eastAsia" w:ascii="宋体" w:hAnsi="宋体" w:eastAsia="宋体" w:cs="宋体"/>
          <w:color w:val="000000"/>
          <w:sz w:val="18"/>
          <w:u w:val="single"/>
          <w:lang w:eastAsia="zh-CN"/>
        </w:rPr>
        <w:t>科技人才洽谈会</w:t>
      </w:r>
    </w:p>
    <w:p>
      <w:pPr>
        <w:pStyle w:val="10"/>
        <w:widowControl w:val="0"/>
        <w:spacing w:before="0" w:after="0" w:line="240" w:lineRule="exact"/>
        <w:jc w:val="left"/>
        <w:rPr>
          <w:rFonts w:ascii="宋体" w:hAnsi="宋体" w:eastAsia="宋体" w:cs="宋体"/>
          <w:color w:val="000000"/>
          <w:sz w:val="18"/>
          <w:u w:val="single"/>
          <w:lang w:eastAsia="zh-CN"/>
        </w:rPr>
      </w:pPr>
      <w:r>
        <w:rPr>
          <w:rFonts w:ascii="APQONC+å®ä½" w:hAnsi="APQONC+å®ä½" w:cs="APQONC+å®ä½"/>
          <w:color w:val="000000"/>
          <w:sz w:val="18"/>
          <w:lang w:eastAsia="zh-CN"/>
        </w:rPr>
        <w:t>项目实施年度：</w:t>
      </w:r>
      <w:r>
        <w:rPr>
          <w:rFonts w:hint="eastAsia" w:ascii="宋体" w:hAnsi="宋体" w:eastAsia="宋体" w:cs="宋体"/>
          <w:color w:val="000000"/>
          <w:sz w:val="18"/>
          <w:u w:val="single"/>
          <w:lang w:eastAsia="zh-CN"/>
        </w:rPr>
        <w:t>2023年</w:t>
      </w:r>
      <w:r>
        <w:rPr>
          <w:rFonts w:hint="eastAsia" w:ascii="APQONC+å®ä½" w:hAnsi="APQONC+å®ä½" w:cs="APQONC+å®ä½"/>
          <w:color w:val="000000"/>
          <w:spacing w:val="-9"/>
          <w:sz w:val="18"/>
          <w:lang w:eastAsia="zh-CN"/>
        </w:rPr>
        <w:t xml:space="preserve"> </w:t>
      </w:r>
      <w:r>
        <w:rPr>
          <w:rFonts w:ascii="APQONC+å®ä½" w:hAnsi="APQONC+å®ä½" w:cs="APQONC+å®ä½"/>
          <w:color w:val="000000"/>
          <w:spacing w:val="-9"/>
          <w:sz w:val="18"/>
          <w:lang w:eastAsia="zh-CN"/>
        </w:rPr>
        <w:t>项目实施开始时间（</w:t>
      </w:r>
      <w:r>
        <w:rPr>
          <w:rFonts w:hint="eastAsia" w:ascii="宋体" w:hAnsi="宋体" w:eastAsia="宋体" w:cs="宋体"/>
          <w:color w:val="000000"/>
          <w:spacing w:val="-9"/>
          <w:sz w:val="18"/>
          <w:lang w:eastAsia="zh-CN"/>
        </w:rPr>
        <w:t>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 xml:space="preserve">2023年1月 </w:t>
      </w:r>
      <w:r>
        <w:rPr>
          <w:rFonts w:hint="eastAsia" w:ascii="宋体" w:hAnsi="宋体" w:eastAsia="宋体" w:cs="宋体"/>
          <w:color w:val="000000"/>
          <w:spacing w:val="-8"/>
          <w:sz w:val="18"/>
          <w:lang w:eastAsia="zh-CN"/>
        </w:rPr>
        <w:t>项目实施完成时间（年</w:t>
      </w:r>
      <w:r>
        <w:rPr>
          <w:rFonts w:hint="eastAsia" w:ascii="宋体" w:hAnsi="宋体" w:eastAsia="宋体" w:cs="宋体"/>
          <w:color w:val="000000"/>
          <w:spacing w:val="1"/>
          <w:sz w:val="18"/>
          <w:lang w:eastAsia="zh-CN"/>
        </w:rPr>
        <w:t>/</w:t>
      </w:r>
      <w:r>
        <w:rPr>
          <w:rFonts w:hint="eastAsia" w:ascii="宋体" w:hAnsi="宋体" w:eastAsia="宋体" w:cs="宋体"/>
          <w:color w:val="000000"/>
          <w:sz w:val="18"/>
          <w:lang w:eastAsia="zh-CN"/>
        </w:rPr>
        <w:t>月</w:t>
      </w:r>
      <w:r>
        <w:rPr>
          <w:rFonts w:hint="eastAsia" w:ascii="宋体" w:hAnsi="宋体" w:eastAsia="宋体" w:cs="宋体"/>
          <w:color w:val="000000"/>
          <w:spacing w:val="-46"/>
          <w:sz w:val="18"/>
          <w:lang w:eastAsia="zh-CN"/>
        </w:rPr>
        <w:t>）：</w:t>
      </w:r>
      <w:r>
        <w:rPr>
          <w:rFonts w:hint="eastAsia" w:ascii="宋体" w:hAnsi="宋体" w:eastAsia="宋体" w:cs="宋体"/>
          <w:color w:val="000000"/>
          <w:sz w:val="18"/>
          <w:u w:val="single"/>
          <w:lang w:eastAsia="zh-CN"/>
        </w:rPr>
        <w:t>2023年12月</w:t>
      </w:r>
    </w:p>
    <w:p>
      <w:pPr>
        <w:pStyle w:val="10"/>
        <w:widowControl w:val="0"/>
        <w:spacing w:before="0" w:after="0" w:line="240" w:lineRule="exact"/>
        <w:jc w:val="left"/>
        <w:rPr>
          <w:rFonts w:ascii="黑体" w:hAnsi="黑体" w:eastAsia="黑体" w:cs="黑体"/>
          <w:color w:val="000000"/>
          <w:sz w:val="24"/>
          <w:lang w:eastAsia="zh-CN"/>
        </w:rPr>
      </w:pPr>
      <w:r>
        <w:rPr>
          <w:rFonts w:hint="eastAsia" w:ascii="黑体" w:hAnsi="黑体" w:eastAsia="黑体" w:cs="黑体"/>
          <w:color w:val="000000"/>
          <w:sz w:val="24"/>
          <w:lang w:eastAsia="zh-CN"/>
        </w:rPr>
        <w:t>项目自评价情况</w:t>
      </w:r>
    </w:p>
    <w:p>
      <w:pPr>
        <w:pStyle w:val="10"/>
        <w:widowControl w:val="0"/>
        <w:pBdr>
          <w:top w:val="single" w:color="auto" w:sz="4" w:space="0"/>
          <w:left w:val="single" w:color="auto" w:sz="4" w:space="0"/>
          <w:bottom w:val="single" w:color="auto" w:sz="4" w:space="0"/>
          <w:right w:val="single" w:color="auto" w:sz="4" w:space="0"/>
        </w:pBdr>
        <w:spacing w:before="0" w:after="0" w:line="280" w:lineRule="exact"/>
        <w:jc w:val="left"/>
        <w:rPr>
          <w:rFonts w:ascii="Times New Roman" w:hAnsi="Times New Roman" w:cs="Times New Roman" w:eastAsiaTheme="majorEastAsia"/>
          <w:color w:val="000000"/>
          <w:sz w:val="21"/>
          <w:lang w:eastAsia="zh-CN"/>
        </w:rPr>
      </w:pPr>
      <w:r>
        <w:rPr>
          <w:rFonts w:ascii="Times New Roman" w:cs="Times New Roman" w:hAnsiTheme="majorEastAsia" w:eastAsiaTheme="majorEastAsia"/>
          <w:color w:val="000000"/>
          <w:sz w:val="21"/>
          <w:lang w:eastAsia="zh-CN"/>
        </w:rPr>
        <w:t>一、项目概况</w:t>
      </w:r>
      <w:r>
        <w:rPr>
          <w:rFonts w:ascii="Times New Roman" w:hAnsi="Times New Roman" w:cs="Times New Roman" w:eastAsiaTheme="majorEastAsia"/>
          <w:color w:val="000000"/>
          <w:sz w:val="21"/>
          <w:lang w:eastAsia="zh-CN"/>
        </w:rPr>
        <w:t xml:space="preserve"> </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（一）</w:t>
      </w:r>
      <w:r>
        <w:rPr>
          <w:rFonts w:ascii="Times New Roman" w:cs="Times New Roman" w:hAnsiTheme="majorEastAsia" w:eastAsiaTheme="majorEastAsia"/>
          <w:color w:val="000000"/>
          <w:sz w:val="21"/>
          <w:lang w:eastAsia="zh-CN"/>
        </w:rPr>
        <w:t>项目政策：</w:t>
      </w:r>
      <w:r>
        <w:rPr>
          <w:rFonts w:ascii="Times New Roman" w:hAnsi="Times New Roman" w:cs="Times New Roman" w:eastAsiaTheme="majorEastAsia"/>
          <w:color w:val="000000"/>
          <w:sz w:val="21"/>
          <w:lang w:eastAsia="zh-CN"/>
        </w:rPr>
        <w:t>《市委办公室  市政府办公室</w:t>
      </w:r>
      <w:r>
        <w:rPr>
          <w:rFonts w:hint="eastAsia" w:ascii="Times New Roman" w:hAnsi="Times New Roman" w:cs="Times New Roman" w:eastAsiaTheme="majorEastAsia"/>
          <w:color w:val="000000"/>
          <w:sz w:val="21"/>
          <w:lang w:eastAsia="zh-CN"/>
        </w:rPr>
        <w:t>关于</w:t>
      </w:r>
      <w:r>
        <w:rPr>
          <w:rFonts w:ascii="Times New Roman" w:hAnsi="Times New Roman" w:cs="Times New Roman" w:eastAsiaTheme="majorEastAsia"/>
          <w:color w:val="000000"/>
          <w:sz w:val="21"/>
          <w:lang w:eastAsia="zh-CN"/>
        </w:rPr>
        <w:t>印发〈加快建设科技强市 推动创新型示范县市高质量发展的激励意见〉的通知》（皋办〔202</w:t>
      </w:r>
      <w:r>
        <w:rPr>
          <w:rFonts w:hint="eastAsia" w:ascii="Times New Roman" w:hAnsi="Times New Roman" w:cs="Times New Roman" w:eastAsiaTheme="majorEastAsia"/>
          <w:color w:val="000000"/>
          <w:sz w:val="21"/>
          <w:lang w:eastAsia="zh-CN"/>
        </w:rPr>
        <w:t>2</w:t>
      </w:r>
      <w:r>
        <w:rPr>
          <w:rFonts w:ascii="Times New Roman" w:hAnsi="Times New Roman" w:cs="Times New Roman" w:eastAsiaTheme="majorEastAsia"/>
          <w:color w:val="000000"/>
          <w:sz w:val="21"/>
          <w:lang w:eastAsia="zh-CN"/>
        </w:rPr>
        <w:t>〕</w:t>
      </w:r>
      <w:r>
        <w:rPr>
          <w:rFonts w:hint="eastAsia" w:ascii="Times New Roman" w:hAnsi="Times New Roman" w:cs="Times New Roman" w:eastAsiaTheme="majorEastAsia"/>
          <w:color w:val="000000"/>
          <w:sz w:val="21"/>
          <w:lang w:eastAsia="zh-CN"/>
        </w:rPr>
        <w:t>44</w:t>
      </w:r>
      <w:r>
        <w:rPr>
          <w:rFonts w:ascii="Times New Roman" w:hAnsi="Times New Roman" w:cs="Times New Roman" w:eastAsiaTheme="majorEastAsia"/>
          <w:color w:val="000000"/>
          <w:sz w:val="21"/>
          <w:lang w:eastAsia="zh-CN"/>
        </w:rPr>
        <w:t>号）</w:t>
      </w:r>
      <w:r>
        <w:rPr>
          <w:rFonts w:hint="eastAsia" w:ascii="Times New Roman" w:hAnsi="Times New Roman" w:cs="Times New Roman" w:eastAsiaTheme="majorEastAsia"/>
          <w:color w:val="000000"/>
          <w:sz w:val="21"/>
          <w:lang w:eastAsia="zh-CN"/>
        </w:rPr>
        <w:t>、市科技局职能。</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（二）</w:t>
      </w:r>
      <w:r>
        <w:rPr>
          <w:rFonts w:ascii="Times New Roman" w:hAnsi="Times New Roman" w:cs="Times New Roman" w:eastAsiaTheme="majorEastAsia"/>
          <w:color w:val="000000"/>
          <w:sz w:val="21"/>
          <w:lang w:eastAsia="zh-CN"/>
        </w:rPr>
        <w:t>资金分配使用：如皋市科学技术局202</w:t>
      </w:r>
      <w:r>
        <w:rPr>
          <w:rFonts w:hint="eastAsia" w:ascii="Times New Roman" w:hAnsi="Times New Roman" w:cs="Times New Roman" w:eastAsiaTheme="majorEastAsia"/>
          <w:color w:val="000000"/>
          <w:sz w:val="21"/>
          <w:lang w:eastAsia="zh-CN"/>
        </w:rPr>
        <w:t>3</w:t>
      </w:r>
      <w:r>
        <w:rPr>
          <w:rFonts w:ascii="Times New Roman" w:hAnsi="Times New Roman" w:cs="Times New Roman" w:eastAsiaTheme="majorEastAsia"/>
          <w:color w:val="000000"/>
          <w:sz w:val="21"/>
          <w:lang w:eastAsia="zh-CN"/>
        </w:rPr>
        <w:t>年</w:t>
      </w:r>
      <w:r>
        <w:rPr>
          <w:rFonts w:hint="eastAsia" w:ascii="Times New Roman" w:hAnsi="Times New Roman" w:cs="Times New Roman" w:eastAsiaTheme="majorEastAsia"/>
          <w:color w:val="000000"/>
          <w:sz w:val="21"/>
          <w:lang w:eastAsia="zh-CN"/>
        </w:rPr>
        <w:t>科技人才洽谈会</w:t>
      </w:r>
      <w:r>
        <w:rPr>
          <w:rFonts w:ascii="Times New Roman" w:hAnsi="Times New Roman" w:cs="Times New Roman" w:eastAsiaTheme="majorEastAsia"/>
          <w:color w:val="000000"/>
          <w:sz w:val="21"/>
          <w:lang w:eastAsia="zh-CN"/>
        </w:rPr>
        <w:t>年初预算</w:t>
      </w:r>
      <w:r>
        <w:rPr>
          <w:rFonts w:hint="eastAsia" w:ascii="Times New Roman" w:hAnsi="Times New Roman" w:cs="Times New Roman" w:eastAsiaTheme="majorEastAsia"/>
          <w:color w:val="000000"/>
          <w:sz w:val="21"/>
          <w:lang w:eastAsia="zh-CN"/>
        </w:rPr>
        <w:t>150</w:t>
      </w:r>
      <w:r>
        <w:rPr>
          <w:rFonts w:ascii="Times New Roman" w:hAnsi="Times New Roman" w:cs="Times New Roman" w:eastAsiaTheme="majorEastAsia"/>
          <w:color w:val="000000"/>
          <w:sz w:val="21"/>
          <w:lang w:eastAsia="zh-CN"/>
        </w:rPr>
        <w:t>万元。</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Times New Roman" w:cs="Times New Roman" w:eastAsiaTheme="majorEastAsia"/>
          <w:color w:val="000000"/>
          <w:sz w:val="21"/>
          <w:lang w:eastAsia="zh-CN"/>
        </w:rPr>
      </w:pPr>
      <w:r>
        <w:rPr>
          <w:rFonts w:hint="eastAsia" w:ascii="Times New Roman" w:hAnsi="Times New Roman" w:cs="Times New Roman" w:eastAsiaTheme="majorEastAsia"/>
          <w:color w:val="000000"/>
          <w:sz w:val="21"/>
          <w:lang w:eastAsia="zh-CN"/>
        </w:rPr>
        <w:t>（三）项目实施情况：</w:t>
      </w:r>
      <w:r>
        <w:rPr>
          <w:rFonts w:ascii="Times New Roman" w:hAnsi="Times New Roman" w:cs="Times New Roman" w:eastAsiaTheme="majorEastAsia"/>
          <w:color w:val="000000"/>
          <w:sz w:val="21"/>
          <w:lang w:eastAsia="zh-CN"/>
        </w:rPr>
        <w:t>根据2023年市科技人才洽谈会分工，协助筹划洽谈会开幕式，具体负责开幕式重要嘉宾邀请、国家创新型县市三年行动方案发布、科技强企人物评选并颁奖、揭牌授牌等相关工作和子活动第一届长三角（如皋）合成生物产业发展大会暨江苏省食品科学与技术学会学术会议、第九届如皋市“梦想之星”创新创业大赛活动组织，并配合组委会办公室开展相关组织协调工作</w:t>
      </w:r>
      <w:r>
        <w:rPr>
          <w:rFonts w:hint="eastAsia" w:ascii="Times New Roman" w:hAnsi="Times New Roman" w:cs="Times New Roman" w:eastAsiaTheme="majorEastAsia"/>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Times New Roman" w:cs="Times New Roman" w:eastAsiaTheme="majorEastAsia"/>
          <w:color w:val="000000"/>
          <w:sz w:val="21"/>
          <w:lang w:eastAsia="zh-CN"/>
        </w:rPr>
      </w:pPr>
      <w:r>
        <w:rPr>
          <w:rFonts w:ascii="Times New Roman" w:hAnsi="Times New Roman" w:cs="Times New Roman" w:eastAsiaTheme="majorEastAsia"/>
          <w:color w:val="000000"/>
          <w:sz w:val="21"/>
          <w:lang w:eastAsia="zh-CN"/>
        </w:rPr>
        <w:t>二、评价情况</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（一）成立评价小组。根据《如皋市市级项目支出绩效评价管理办法》、《2023年预算绩效管理工作要求》，严格落实评价工作责任制，成立绩效评价工作小组，指定专人负责自我评价工作。</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（二）制定评价办法。根据项目实际情况，制定评价工作责任制和项目用款计划，严格按评价要求和项目特点选用评价方法和指标体系。</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三）开展绩效自评。绩效评价小组采取了座谈走访，查阅收集相关资料，审查账簿凭证等评价程序，了解项目实施效果及存在的问题，对项目资金的使用情况进行分析评价，结合绩效评价小组的现场评价情况，从而形成评价结论。</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（四）自我评价情况。项目达到了预期的目标，资金使用有效。评价得分99分，评价等次为“优”。</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ascii="Times New Roman" w:cs="Times New Roman" w:hAnsiTheme="majorEastAsia" w:eastAsiaTheme="majorEastAsia"/>
          <w:color w:val="000000"/>
          <w:sz w:val="21"/>
          <w:lang w:eastAsia="zh-CN"/>
        </w:rPr>
        <w:t>三、项目绩效</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cs="Times New Roman" w:hAnsiTheme="majorEastAsia" w:eastAsiaTheme="majorEastAsia"/>
          <w:color w:val="000000"/>
          <w:sz w:val="21"/>
          <w:lang w:eastAsia="zh-CN"/>
        </w:rPr>
      </w:pPr>
      <w:r>
        <w:rPr>
          <w:rFonts w:hint="eastAsia" w:ascii="Times New Roman" w:cs="Times New Roman" w:hAnsiTheme="majorEastAsia" w:eastAsiaTheme="majorEastAsia"/>
          <w:color w:val="000000"/>
          <w:sz w:val="21"/>
          <w:lang w:eastAsia="zh-CN"/>
        </w:rPr>
        <w:t>（一）绩效目标完成情况：一是</w:t>
      </w:r>
      <w:r>
        <w:rPr>
          <w:rFonts w:ascii="Times New Roman" w:cs="Times New Roman" w:hAnsiTheme="majorEastAsia" w:eastAsiaTheme="majorEastAsia"/>
          <w:color w:val="000000"/>
          <w:sz w:val="21"/>
          <w:lang w:eastAsia="zh-CN"/>
        </w:rPr>
        <w:t>精心组织，周密协调</w:t>
      </w:r>
      <w:r>
        <w:rPr>
          <w:rFonts w:hint="eastAsia" w:ascii="Times New Roman" w:cs="Times New Roman" w:hAnsiTheme="majorEastAsia" w:eastAsiaTheme="majorEastAsia"/>
          <w:color w:val="000000"/>
          <w:sz w:val="21"/>
          <w:lang w:eastAsia="zh-CN"/>
        </w:rPr>
        <w:t>。</w:t>
      </w:r>
      <w:r>
        <w:rPr>
          <w:rFonts w:ascii="Times New Roman" w:cs="Times New Roman" w:hAnsiTheme="majorEastAsia" w:eastAsiaTheme="majorEastAsia"/>
          <w:color w:val="000000"/>
          <w:sz w:val="21"/>
          <w:lang w:eastAsia="zh-CN"/>
        </w:rPr>
        <w:t>专程赴北京、上海、合肥、南京等地邀请科技部高技术研究发展中心主任张洪刚、科技厅副厅长蒋洪、南通市委副书记、政法委书记沈雷、中国地质大学（北京）校长孙友宏、南京大学副书记陈云松、、中国科学技术大学校长特别助理陆亚林、东南大学党委常委、党委统战部部长冯建明等国家、省、市科技部门的领导、如皋籍在外院士专家教授30余人，邀请复旦大学、厦门大学、南京工程学院等高校及科研院所嘉宾近100人。筛排出重点科技平台项目6个，科创项目8个，合作金额超过40万元的产学研项目6个在开幕式上进行了签约。</w:t>
      </w:r>
      <w:r>
        <w:rPr>
          <w:rFonts w:hint="eastAsia" w:ascii="Times New Roman" w:cs="Times New Roman" w:hAnsiTheme="majorEastAsia" w:eastAsiaTheme="majorEastAsia"/>
          <w:color w:val="000000"/>
          <w:sz w:val="21"/>
          <w:lang w:eastAsia="zh-CN"/>
        </w:rPr>
        <w:t>精心组织</w:t>
      </w:r>
      <w:r>
        <w:rPr>
          <w:rFonts w:ascii="Times New Roman" w:cs="Times New Roman" w:hAnsiTheme="majorEastAsia" w:eastAsiaTheme="majorEastAsia"/>
          <w:color w:val="000000"/>
          <w:sz w:val="21"/>
          <w:lang w:eastAsia="zh-CN"/>
        </w:rPr>
        <w:t>第一届长三角（如皋）合成生物产业发展大会暨江苏省食品科学与技术学会学术会议</w:t>
      </w:r>
      <w:r>
        <w:rPr>
          <w:rFonts w:hint="eastAsia" w:ascii="Times New Roman" w:cs="Times New Roman" w:hAnsiTheme="majorEastAsia" w:eastAsiaTheme="majorEastAsia"/>
          <w:color w:val="000000"/>
          <w:sz w:val="21"/>
          <w:lang w:eastAsia="zh-CN"/>
        </w:rPr>
        <w:t>，以会为媒、以会为介，搭建桥梁，争取支持，共同推动如皋合成生物产业高质量发展</w:t>
      </w:r>
      <w:r>
        <w:rPr>
          <w:rFonts w:ascii="Times New Roman" w:cs="Times New Roman" w:hAnsiTheme="majorEastAsia" w:eastAsiaTheme="majorEastAsia"/>
          <w:color w:val="000000"/>
          <w:sz w:val="21"/>
          <w:lang w:eastAsia="zh-CN"/>
        </w:rPr>
        <w:t>。</w:t>
      </w:r>
      <w:r>
        <w:rPr>
          <w:rFonts w:hint="eastAsia" w:ascii="Times New Roman" w:cs="Times New Roman" w:hAnsiTheme="majorEastAsia" w:eastAsiaTheme="majorEastAsia"/>
          <w:color w:val="000000"/>
          <w:sz w:val="21"/>
          <w:lang w:eastAsia="zh-CN"/>
        </w:rPr>
        <w:t>二</w:t>
      </w:r>
      <w:r>
        <w:rPr>
          <w:rFonts w:ascii="Times New Roman" w:cs="Times New Roman" w:hAnsiTheme="majorEastAsia" w:eastAsiaTheme="majorEastAsia"/>
          <w:color w:val="000000"/>
          <w:sz w:val="21"/>
          <w:lang w:eastAsia="zh-CN"/>
        </w:rPr>
        <w:t>是推进落实，确保成效。切实做到领导落实、力量落实、责任落实。科技人才宣传片集中展示了如皋科技人才的典型代表，提高了如皋科技人才的知名度，营造了支持人才发展的良好氛围，不断为如皋科技创新注入更加强劲的动力。《如皋市建设国家创新型县市三年行动方案》的制定为我市未来三年“科技强市”战略的推进奠定了基础。评选的9名科技强企人物，在社会上引起普遍共鸣，充分肯定他们在企业科技创新工作中作出的突出贡献的同时，也充分展示了企业的实力和影响力。</w:t>
      </w:r>
      <w:r>
        <w:rPr>
          <w:rFonts w:hint="eastAsia" w:ascii="Times New Roman" w:cs="Times New Roman" w:hAnsiTheme="majorEastAsia" w:eastAsiaTheme="majorEastAsia"/>
          <w:color w:val="000000"/>
          <w:sz w:val="21"/>
          <w:lang w:eastAsia="zh-CN"/>
        </w:rPr>
        <w:t>助推长寿未来农业园区分别在上海、如皋两地与华东理工大学合作建立如皋（上海）合成生物产业概念验证中心、如皋合成生物产业中试熟化基地，推动道夫子食品、依诺基科、汇像科技等6个项目成功签约落地</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宋体" w:eastAsia="宋体" w:cs="Times New Roman"/>
          <w:color w:val="000000"/>
          <w:sz w:val="21"/>
          <w:lang w:eastAsia="zh-CN"/>
        </w:rPr>
      </w:pPr>
      <w:r>
        <w:rPr>
          <w:rFonts w:hint="eastAsia" w:ascii="Times New Roman" w:cs="Times New Roman" w:hAnsiTheme="majorEastAsia" w:eastAsiaTheme="majorEastAsia"/>
          <w:color w:val="000000"/>
          <w:sz w:val="21"/>
          <w:lang w:eastAsia="zh-CN"/>
        </w:rPr>
        <w:t>（二）项目资金使用情况：项目预期投入35万元，实际投入35万元，实际支出20万元，财政预算完成率57.14%。执行率较低原因是因为15万元项目经费未到位。 项目资金主要用于新时代文明建设、送科技下乡等科普活动场地费、宣传费等、科技馆维护费用</w:t>
      </w:r>
      <w:r>
        <w:rPr>
          <w:rFonts w:hint="eastAsia" w:ascii="Times New Roman" w:hAnsi="宋体" w:eastAsia="宋体" w:cs="Times New Roman"/>
          <w:color w:val="000000"/>
          <w:sz w:val="21"/>
          <w:lang w:eastAsia="zh-CN"/>
        </w:rPr>
        <w:t>。</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宋体" w:eastAsia="宋体" w:cs="Times New Roman"/>
          <w:color w:val="000000"/>
          <w:sz w:val="21"/>
          <w:lang w:eastAsia="zh-CN"/>
        </w:rPr>
      </w:pPr>
      <w:r>
        <w:rPr>
          <w:rFonts w:ascii="Times New Roman" w:hAnsi="宋体" w:eastAsia="宋体" w:cs="Times New Roman"/>
          <w:color w:val="000000"/>
          <w:sz w:val="21"/>
          <w:lang w:eastAsia="zh-CN"/>
        </w:rPr>
        <w:t>四、存在问题</w:t>
      </w:r>
      <w:r>
        <w:rPr>
          <w:rFonts w:hint="eastAsia" w:ascii="Times New Roman" w:hAnsi="宋体" w:eastAsia="宋体" w:cs="Times New Roman"/>
          <w:color w:val="000000"/>
          <w:sz w:val="21"/>
          <w:lang w:eastAsia="zh-CN"/>
        </w:rPr>
        <w:t>：无。</w:t>
      </w:r>
    </w:p>
    <w:p>
      <w:pPr>
        <w:pStyle w:val="10"/>
        <w:widowControl w:val="0"/>
        <w:pBdr>
          <w:top w:val="single" w:color="auto" w:sz="4" w:space="0"/>
          <w:left w:val="single" w:color="auto" w:sz="4" w:space="0"/>
          <w:bottom w:val="single" w:color="auto" w:sz="4" w:space="0"/>
          <w:right w:val="single" w:color="auto" w:sz="4" w:space="0"/>
        </w:pBdr>
        <w:spacing w:before="0" w:after="0" w:line="260" w:lineRule="exact"/>
        <w:ind w:firstLine="420" w:firstLineChars="200"/>
        <w:jc w:val="left"/>
        <w:rPr>
          <w:rFonts w:ascii="Times New Roman" w:hAnsi="宋体" w:eastAsia="宋体" w:cs="Times New Roman"/>
          <w:color w:val="000000"/>
          <w:sz w:val="21"/>
          <w:lang w:eastAsia="zh-CN"/>
        </w:rPr>
        <w:sectPr>
          <w:pgSz w:w="11900" w:h="16820"/>
          <w:pgMar w:top="1609" w:right="1474" w:bottom="1191" w:left="1644" w:header="720" w:footer="720" w:gutter="0"/>
          <w:pgNumType w:fmt="numberInDash" w:start="1"/>
          <w:cols w:space="720" w:num="1"/>
          <w:docGrid w:linePitch="1" w:charSpace="0"/>
        </w:sectPr>
      </w:pPr>
      <w:r>
        <w:rPr>
          <w:rFonts w:hint="eastAsia" w:ascii="Times New Roman" w:hAnsi="宋体" w:eastAsia="宋体" w:cs="Times New Roman"/>
          <w:color w:val="000000"/>
          <w:sz w:val="21"/>
          <w:lang w:eastAsia="zh-CN"/>
        </w:rPr>
        <w:t>五、</w:t>
      </w:r>
      <w:r>
        <w:rPr>
          <w:rFonts w:ascii="Times New Roman" w:hAnsi="宋体" w:eastAsia="宋体" w:cs="Times New Roman"/>
          <w:color w:val="000000"/>
          <w:sz w:val="21"/>
          <w:lang w:eastAsia="zh-CN"/>
        </w:rPr>
        <w:t>有关建议</w:t>
      </w:r>
      <w:r>
        <w:rPr>
          <w:rFonts w:hint="eastAsia" w:ascii="Times New Roman" w:hAnsi="宋体" w:eastAsia="宋体" w:cs="Times New Roman"/>
          <w:color w:val="000000"/>
          <w:sz w:val="21"/>
          <w:lang w:eastAsia="zh-CN"/>
        </w:rPr>
        <w:t>：1.</w:t>
      </w:r>
      <w:r>
        <w:rPr>
          <w:rFonts w:ascii="Times New Roman" w:hAnsi="宋体" w:eastAsia="宋体" w:cs="Times New Roman"/>
          <w:color w:val="000000"/>
          <w:sz w:val="21"/>
          <w:lang w:eastAsia="zh-CN"/>
        </w:rPr>
        <w:t>加强项目实施过程管理和中期管理；合理制定项目实施计划，质量指标设置，使项目达到预期目标；健全财务管理制度，确定资金支出结构，规范资金的使用比例，做到专款专用，对资金使用的合规性与使用进度进行有效监控</w:t>
      </w:r>
      <w:r>
        <w:rPr>
          <w:rFonts w:hint="eastAsia" w:ascii="Times New Roman" w:hAnsi="宋体" w:eastAsia="宋体" w:cs="Times New Roman"/>
          <w:color w:val="000000"/>
          <w:sz w:val="21"/>
          <w:lang w:eastAsia="zh-CN"/>
        </w:rPr>
        <w:t>；2.</w:t>
      </w:r>
      <w:r>
        <w:rPr>
          <w:rFonts w:ascii="Times New Roman" w:hAnsi="宋体" w:eastAsia="宋体" w:cs="Times New Roman"/>
          <w:color w:val="000000"/>
          <w:sz w:val="21"/>
          <w:lang w:eastAsia="zh-CN"/>
        </w:rPr>
        <w:t xml:space="preserve"> 加强项目绩效管理，制定指向明确、具体细化和合理可行的总体绩效目标、年度绩效目标和绩效管理责任。提高财政资金使用效益</w:t>
      </w:r>
      <w:r>
        <w:rPr>
          <w:rFonts w:hint="eastAsia" w:ascii="Times New Roman" w:hAnsi="宋体" w:eastAsia="宋体" w:cs="Times New Roman"/>
          <w:color w:val="000000"/>
          <w:sz w:val="21"/>
          <w:lang w:eastAsia="zh-CN"/>
        </w:rPr>
        <w:t>。</w:t>
      </w:r>
    </w:p>
    <w:p>
      <w:pPr>
        <w:pStyle w:val="9"/>
        <w:widowControl w:val="0"/>
        <w:spacing w:beforeLines="100" w:afterLines="100" w:line="560" w:lineRule="exact"/>
        <w:jc w:val="center"/>
        <w:rPr>
          <w:rFonts w:ascii="方正小标宋简体" w:hAnsi="方正小标宋简体" w:eastAsia="方正小标宋简体" w:cs="方正小标宋简体"/>
          <w:color w:val="000000"/>
          <w:sz w:val="44"/>
          <w:lang w:eastAsia="zh-CN"/>
        </w:rPr>
      </w:pPr>
      <w:r>
        <w:rPr>
          <w:rFonts w:hint="eastAsia" w:ascii="方正小标宋简体" w:hAnsi="方正小标宋简体" w:eastAsia="方正小标宋简体" w:cs="方正小标宋简体"/>
          <w:color w:val="000000"/>
          <w:sz w:val="44"/>
          <w:lang w:eastAsia="zh-CN"/>
        </w:rPr>
        <w:t>2023年项目支出绩效自评价评分表</w:t>
      </w:r>
    </w:p>
    <w:p>
      <w:pPr>
        <w:pStyle w:val="10"/>
        <w:widowControl w:val="0"/>
        <w:spacing w:before="0" w:after="0" w:line="500" w:lineRule="exact"/>
        <w:jc w:val="left"/>
        <w:rPr>
          <w:rFonts w:ascii="宋体" w:hAnsi="宋体" w:eastAsia="宋体" w:cs="宋体"/>
          <w:color w:val="000000"/>
          <w:sz w:val="18"/>
          <w:lang w:eastAsia="zh-CN"/>
        </w:rPr>
      </w:pPr>
      <w:r>
        <w:rPr>
          <w:rFonts w:hint="eastAsia" w:ascii="宋体" w:hAnsi="宋体" w:eastAsia="宋体" w:cs="宋体"/>
          <w:color w:val="000000"/>
          <w:sz w:val="20"/>
          <w:szCs w:val="20"/>
          <w:lang w:eastAsia="zh-CN"/>
        </w:rPr>
        <w:t>填报单位</w:t>
      </w:r>
      <w:r>
        <w:rPr>
          <w:rFonts w:ascii="宋体" w:hAnsi="宋体" w:eastAsia="宋体" w:cs="宋体"/>
          <w:sz w:val="24"/>
          <w:szCs w:val="24"/>
          <w:lang w:eastAsia="zh-CN"/>
        </w:rPr>
        <w:t>：</w:t>
      </w:r>
      <w:r>
        <w:rPr>
          <w:rFonts w:hint="eastAsia" w:ascii="宋体" w:hAnsi="宋体" w:eastAsia="宋体" w:cs="宋体"/>
          <w:color w:val="000000"/>
          <w:sz w:val="18"/>
          <w:u w:val="single"/>
          <w:lang w:eastAsia="zh-CN"/>
        </w:rPr>
        <w:t xml:space="preserve">如皋市科学技术局     </w:t>
      </w:r>
      <w:r>
        <w:rPr>
          <w:rFonts w:ascii="宋体" w:hAnsi="宋体" w:eastAsia="宋体" w:cs="宋体"/>
          <w:sz w:val="24"/>
          <w:szCs w:val="24"/>
          <w:lang w:eastAsia="zh-CN"/>
        </w:rPr>
        <w:t xml:space="preserve"> </w:t>
      </w:r>
      <w:r>
        <w:rPr>
          <w:rFonts w:hint="eastAsia" w:ascii="宋体" w:hAnsi="宋体" w:eastAsia="宋体" w:cs="宋体"/>
          <w:sz w:val="24"/>
          <w:szCs w:val="24"/>
          <w:lang w:eastAsia="zh-CN"/>
        </w:rPr>
        <w:t xml:space="preserve">       </w:t>
      </w:r>
      <w:r>
        <w:rPr>
          <w:rFonts w:hint="eastAsia" w:ascii="宋体" w:hAnsi="宋体" w:eastAsia="宋体" w:cs="宋体"/>
          <w:color w:val="000000"/>
          <w:sz w:val="20"/>
          <w:szCs w:val="20"/>
          <w:lang w:eastAsia="zh-CN"/>
        </w:rPr>
        <w:t>项目名称：</w:t>
      </w:r>
      <w:r>
        <w:rPr>
          <w:rFonts w:hint="eastAsia" w:ascii="宋体" w:hAnsi="宋体" w:eastAsia="宋体" w:cs="宋体"/>
          <w:color w:val="000000"/>
          <w:sz w:val="18"/>
          <w:u w:val="single"/>
          <w:lang w:eastAsia="zh-CN"/>
        </w:rPr>
        <w:t>科技人才洽谈会</w:t>
      </w:r>
    </w:p>
    <w:tbl>
      <w:tblPr>
        <w:tblStyle w:val="7"/>
        <w:tblW w:w="9174" w:type="dxa"/>
        <w:jc w:val="center"/>
        <w:tblLayout w:type="fixed"/>
        <w:tblCellMar>
          <w:top w:w="0" w:type="dxa"/>
          <w:left w:w="108" w:type="dxa"/>
          <w:bottom w:w="0" w:type="dxa"/>
          <w:right w:w="108" w:type="dxa"/>
        </w:tblCellMar>
      </w:tblPr>
      <w:tblGrid>
        <w:gridCol w:w="669"/>
        <w:gridCol w:w="1020"/>
        <w:gridCol w:w="1515"/>
        <w:gridCol w:w="989"/>
        <w:gridCol w:w="1134"/>
        <w:gridCol w:w="851"/>
        <w:gridCol w:w="850"/>
        <w:gridCol w:w="2146"/>
      </w:tblGrid>
      <w:tr>
        <w:tblPrEx>
          <w:tblCellMar>
            <w:top w:w="0" w:type="dxa"/>
            <w:left w:w="108" w:type="dxa"/>
            <w:bottom w:w="0" w:type="dxa"/>
            <w:right w:w="108" w:type="dxa"/>
          </w:tblCellMar>
        </w:tblPrEx>
        <w:trPr>
          <w:trHeight w:val="227" w:hRule="atLeast"/>
          <w:jc w:val="center"/>
        </w:trPr>
        <w:tc>
          <w:tcPr>
            <w:tcW w:w="32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评价指标</w:t>
            </w:r>
          </w:p>
        </w:tc>
        <w:tc>
          <w:tcPr>
            <w:tcW w:w="989"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年初指标值</w:t>
            </w:r>
          </w:p>
        </w:tc>
        <w:tc>
          <w:tcPr>
            <w:tcW w:w="1134"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实际完成值</w:t>
            </w:r>
          </w:p>
        </w:tc>
        <w:tc>
          <w:tcPr>
            <w:tcW w:w="851"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权重</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得分</w:t>
            </w:r>
          </w:p>
        </w:tc>
        <w:tc>
          <w:tcPr>
            <w:tcW w:w="2146" w:type="dxa"/>
            <w:vMerge w:val="restart"/>
            <w:tcBorders>
              <w:top w:val="single" w:color="000000" w:sz="4" w:space="0"/>
              <w:left w:val="single" w:color="000000" w:sz="4" w:space="0"/>
              <w:right w:val="single" w:color="000000" w:sz="4" w:space="0"/>
            </w:tcBorders>
            <w:shd w:val="clear" w:color="auto" w:fill="auto"/>
            <w:vAlign w:val="center"/>
          </w:tcPr>
          <w:p>
            <w:pPr>
              <w:widowControl w:val="0"/>
              <w:spacing w:line="3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评分依据</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一级指标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二级指标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三级指标</w:t>
            </w:r>
          </w:p>
        </w:tc>
        <w:tc>
          <w:tcPr>
            <w:tcW w:w="989"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1134"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1"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c>
          <w:tcPr>
            <w:tcW w:w="2146" w:type="dxa"/>
            <w:vMerge w:val="continue"/>
            <w:tcBorders>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p>
        </w:tc>
      </w:tr>
      <w:tr>
        <w:tblPrEx>
          <w:tblCellMar>
            <w:top w:w="0" w:type="dxa"/>
            <w:left w:w="108" w:type="dxa"/>
            <w:bottom w:w="0" w:type="dxa"/>
            <w:right w:w="108" w:type="dxa"/>
          </w:tblCellMar>
        </w:tblPrEx>
        <w:trPr>
          <w:trHeight w:val="481"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决策指标</w:t>
            </w: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项目立项</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立项依据充分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充分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符合经济社会发展规划和部门年度工作计划（5分）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立项程序规范</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规范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cs="宋体" w:asciiTheme="majorEastAsia" w:hAnsiTheme="majorEastAsia" w:eastAsiaTheme="majorEastAsia"/>
                <w:b w:val="0"/>
                <w:color w:val="00000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符合申报条件，申报、批复程序符合相关管理办法（5分）</w:t>
            </w:r>
          </w:p>
        </w:tc>
      </w:tr>
      <w:tr>
        <w:tblPrEx>
          <w:tblCellMar>
            <w:top w:w="0" w:type="dxa"/>
            <w:left w:w="108" w:type="dxa"/>
            <w:bottom w:w="0" w:type="dxa"/>
            <w:right w:w="108" w:type="dxa"/>
          </w:tblCellMar>
        </w:tblPrEx>
        <w:trPr>
          <w:trHeight w:val="56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绩效目标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绩效目标合理</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16"/>
                <w:szCs w:val="16"/>
              </w:rPr>
            </w:pPr>
            <w:r>
              <w:rPr>
                <w:rFonts w:hint="eastAsia" w:asciiTheme="majorEastAsia" w:hAnsiTheme="majorEastAsia" w:eastAsiaTheme="majorEastAsia"/>
                <w:b w:val="0"/>
                <w:sz w:val="16"/>
                <w:szCs w:val="16"/>
              </w:rPr>
              <w:t>按照要求于年初设定了项目绩效且目标编制完整（3分）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绩效指标明确</w:t>
            </w: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明确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绩效目标设定是否与资金安排额度相匹配（1分）；是否具有可实现性、可考核性、时效性等（1分）</w:t>
            </w:r>
          </w:p>
        </w:tc>
      </w:tr>
      <w:tr>
        <w:tblPrEx>
          <w:tblCellMar>
            <w:top w:w="0" w:type="dxa"/>
            <w:left w:w="108" w:type="dxa"/>
            <w:bottom w:w="0" w:type="dxa"/>
            <w:right w:w="108" w:type="dxa"/>
          </w:tblCellMar>
        </w:tblPrEx>
        <w:trPr>
          <w:trHeight w:val="453"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资金投入</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预算编制科学性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科学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办法健全、规范（2分），因素选择全面、合理（1分）</w:t>
            </w:r>
          </w:p>
        </w:tc>
      </w:tr>
      <w:tr>
        <w:tblPrEx>
          <w:tblCellMar>
            <w:top w:w="0" w:type="dxa"/>
            <w:left w:w="108" w:type="dxa"/>
            <w:bottom w:w="0" w:type="dxa"/>
            <w:right w:w="108" w:type="dxa"/>
          </w:tblCellMar>
        </w:tblPrEx>
        <w:trPr>
          <w:trHeight w:val="50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资金分配合理</w:t>
            </w:r>
          </w:p>
          <w:p>
            <w:pPr>
              <w:widowControl w:val="0"/>
              <w:spacing w:line="180" w:lineRule="exact"/>
              <w:jc w:val="center"/>
              <w:textAlignment w:val="center"/>
              <w:rPr>
                <w:rFonts w:cs="宋体" w:asciiTheme="majorEastAsia" w:hAnsiTheme="majorEastAsia" w:eastAsiaTheme="majorEastAsia"/>
                <w:b w:val="0"/>
                <w:color w:val="000000"/>
                <w:sz w:val="20"/>
                <w:szCs w:val="20"/>
              </w:rPr>
            </w:pPr>
            <w:r>
              <w:rPr>
                <w:rFonts w:hint="eastAsia" w:cs="宋体" w:asciiTheme="majorEastAsia" w:hAnsiTheme="majorEastAsia" w:eastAsiaTheme="majorEastAsia"/>
                <w:b w:val="0"/>
                <w:color w:val="00000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项目符合相关分配办法（1 分），资金分配合理（1分）</w:t>
            </w:r>
          </w:p>
        </w:tc>
      </w:tr>
      <w:tr>
        <w:tblPrEx>
          <w:tblCellMar>
            <w:top w:w="0" w:type="dxa"/>
            <w:left w:w="108" w:type="dxa"/>
            <w:bottom w:w="0" w:type="dxa"/>
            <w:right w:w="108" w:type="dxa"/>
          </w:tblCellMar>
        </w:tblPrEx>
        <w:trPr>
          <w:trHeight w:val="429"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过程指标</w:t>
            </w:r>
          </w:p>
        </w:tc>
        <w:tc>
          <w:tcPr>
            <w:tcW w:w="1020" w:type="dxa"/>
            <w:vMerge w:val="restart"/>
            <w:tcBorders>
              <w:top w:val="single" w:color="000000" w:sz="4" w:space="0"/>
              <w:left w:val="nil"/>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资金管理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资金到位率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根据项目实际到位资金占计划的比重计算得分（3 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预算执行率</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3</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5"/>
                <w:szCs w:val="15"/>
              </w:rPr>
            </w:pPr>
            <w:r>
              <w:rPr>
                <w:rFonts w:hint="eastAsia" w:cs="宋体" w:asciiTheme="majorEastAsia" w:hAnsiTheme="majorEastAsia" w:eastAsiaTheme="majorEastAsia"/>
                <w:b w:val="0"/>
                <w:color w:val="000000"/>
                <w:sz w:val="15"/>
                <w:szCs w:val="15"/>
              </w:rPr>
              <w:t>支出进度达到时序支出进度的（3分）。低于时序支出进度的，以“实际支出进度/时序支出进度*分值”计算得分。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资金使用合规性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60" w:lineRule="exact"/>
              <w:jc w:val="center"/>
              <w:rPr>
                <w:rFonts w:asciiTheme="majorEastAsia" w:hAnsiTheme="majorEastAsia" w:eastAsiaTheme="majorEastAsia"/>
                <w:b w:val="0"/>
                <w:sz w:val="13"/>
                <w:szCs w:val="13"/>
              </w:rPr>
            </w:pPr>
            <w:r>
              <w:rPr>
                <w:rFonts w:hint="eastAsia" w:cs="宋体" w:asciiTheme="majorEastAsia" w:hAnsiTheme="majorEastAsia" w:eastAsiaTheme="majorEastAsia"/>
                <w:b w:val="0"/>
                <w:color w:val="000000"/>
                <w:sz w:val="13"/>
                <w:szCs w:val="13"/>
              </w:rPr>
              <w:t>虚列套取扣 4 分，依据不合规扣 2分，截留、挤占、挪用 扣3分，超标准开支扣 2分，超预算扣2分，扣完为止。</w:t>
            </w:r>
          </w:p>
        </w:tc>
      </w:tr>
      <w:tr>
        <w:tblPrEx>
          <w:tblCellMar>
            <w:top w:w="0" w:type="dxa"/>
            <w:left w:w="108" w:type="dxa"/>
            <w:bottom w:w="0" w:type="dxa"/>
            <w:right w:w="108" w:type="dxa"/>
          </w:tblCellMar>
        </w:tblPrEx>
        <w:trPr>
          <w:trHeight w:val="49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组织实施</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管理制度健全性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健全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cs="宋体" w:asciiTheme="majorEastAsia" w:hAnsiTheme="majorEastAsia" w:eastAsiaTheme="majorEastAsia"/>
                <w:b w:val="0"/>
                <w:color w:val="000000"/>
                <w:sz w:val="16"/>
                <w:szCs w:val="16"/>
              </w:rPr>
            </w:pPr>
            <w:r>
              <w:rPr>
                <w:rFonts w:hint="eastAsia" w:cs="宋体" w:asciiTheme="majorEastAsia" w:hAnsiTheme="majorEastAsia" w:eastAsiaTheme="majorEastAsia"/>
                <w:b w:val="0"/>
                <w:color w:val="000000"/>
                <w:sz w:val="16"/>
                <w:szCs w:val="16"/>
              </w:rPr>
              <w:t>财务制度健全（5分）</w:t>
            </w:r>
          </w:p>
        </w:tc>
      </w:tr>
      <w:tr>
        <w:tblPrEx>
          <w:tblCellMar>
            <w:top w:w="0" w:type="dxa"/>
            <w:left w:w="108" w:type="dxa"/>
            <w:bottom w:w="0" w:type="dxa"/>
            <w:right w:w="108" w:type="dxa"/>
          </w:tblCellMar>
        </w:tblPrEx>
        <w:trPr>
          <w:trHeight w:val="41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vMerge w:val="continue"/>
            <w:tcBorders>
              <w:top w:val="single" w:color="000000" w:sz="4" w:space="0"/>
              <w:left w:val="nil"/>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制度执行有效</w:t>
            </w:r>
          </w:p>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性</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有效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18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严格执行制度（3分），会计核算规范（2分）</w:t>
            </w:r>
          </w:p>
        </w:tc>
      </w:tr>
      <w:tr>
        <w:tblPrEx>
          <w:tblCellMar>
            <w:top w:w="0" w:type="dxa"/>
            <w:left w:w="108" w:type="dxa"/>
            <w:bottom w:w="0" w:type="dxa"/>
            <w:right w:w="108" w:type="dxa"/>
          </w:tblCellMar>
        </w:tblPrEx>
        <w:trPr>
          <w:trHeight w:val="464"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产出指标</w:t>
            </w:r>
          </w:p>
        </w:tc>
        <w:tc>
          <w:tcPr>
            <w:tcW w:w="1020" w:type="dxa"/>
            <w:tcBorders>
              <w:top w:val="single" w:color="000000" w:sz="4" w:space="0"/>
              <w:left w:val="nil"/>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数量指标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邀请与会专家数</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120人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140余人</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根据年初目标计划完成（10分）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质量指标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宋体" w:hAnsi="宋体" w:eastAsia="宋体" w:cs="宋体"/>
                <w:bCs/>
                <w:color w:val="000000"/>
                <w:sz w:val="20"/>
                <w:szCs w:val="20"/>
              </w:rPr>
              <w:t>签约落地项目</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6项</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完成年初目标（10分），低于按比例扣分</w:t>
            </w:r>
          </w:p>
        </w:tc>
      </w:tr>
      <w:tr>
        <w:tblPrEx>
          <w:tblCellMar>
            <w:top w:w="0" w:type="dxa"/>
            <w:left w:w="108" w:type="dxa"/>
            <w:bottom w:w="0" w:type="dxa"/>
            <w:right w:w="108" w:type="dxa"/>
          </w:tblCellMar>
        </w:tblPrEx>
        <w:trPr>
          <w:trHeight w:val="391"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时效指标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合作协议时效</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根据合同要求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根据合同要求</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按序时进度完成（5分）</w:t>
            </w:r>
          </w:p>
        </w:tc>
      </w:tr>
      <w:tr>
        <w:tblPrEx>
          <w:tblCellMar>
            <w:top w:w="0" w:type="dxa"/>
            <w:left w:w="108" w:type="dxa"/>
            <w:bottom w:w="0" w:type="dxa"/>
            <w:right w:w="108" w:type="dxa"/>
          </w:tblCellMar>
        </w:tblPrEx>
        <w:trPr>
          <w:trHeight w:val="425"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成本指标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项目资金</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150万元</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150万元</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按序时进度执行（5分）</w:t>
            </w:r>
          </w:p>
        </w:tc>
      </w:tr>
      <w:tr>
        <w:tblPrEx>
          <w:tblCellMar>
            <w:top w:w="0" w:type="dxa"/>
            <w:left w:w="108" w:type="dxa"/>
            <w:bottom w:w="0" w:type="dxa"/>
            <w:right w:w="108" w:type="dxa"/>
          </w:tblCellMar>
        </w:tblPrEx>
        <w:trPr>
          <w:trHeight w:val="227" w:hRule="atLeast"/>
          <w:jc w:val="center"/>
        </w:trPr>
        <w:tc>
          <w:tcPr>
            <w:tcW w:w="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效益指标</w:t>
            </w: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经济效益指标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推动科技创新驱动发展</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良好</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推动科技创新驱动发展（10分）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社会效益指标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支付产学研合作费用</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序时进度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序时进度</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10</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按序时进度完成（10分）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生态效益指标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环境影响</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无影响</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2</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对环境无影响（2分）</w:t>
            </w:r>
          </w:p>
        </w:tc>
      </w:tr>
      <w:tr>
        <w:tblPrEx>
          <w:tblCellMar>
            <w:top w:w="0" w:type="dxa"/>
            <w:left w:w="108" w:type="dxa"/>
            <w:bottom w:w="0" w:type="dxa"/>
            <w:right w:w="108" w:type="dxa"/>
          </w:tblCellMar>
        </w:tblPrEx>
        <w:trPr>
          <w:trHeight w:val="227" w:hRule="atLeast"/>
          <w:jc w:val="center"/>
        </w:trPr>
        <w:tc>
          <w:tcPr>
            <w:tcW w:w="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020" w:type="dxa"/>
            <w:tcBorders>
              <w:top w:val="single" w:color="000000" w:sz="4" w:space="0"/>
              <w:left w:val="nil"/>
              <w:bottom w:val="single" w:color="000000" w:sz="4" w:space="0"/>
              <w:right w:val="single" w:color="000000" w:sz="4" w:space="0"/>
            </w:tcBorders>
            <w:shd w:val="clear" w:color="auto" w:fill="auto"/>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可持续发展指标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年新增产学研合作项目</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合理</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产学研合作项目增长（4分）</w:t>
            </w:r>
          </w:p>
        </w:tc>
      </w:tr>
      <w:tr>
        <w:tblPrEx>
          <w:tblCellMar>
            <w:top w:w="0" w:type="dxa"/>
            <w:left w:w="108" w:type="dxa"/>
            <w:bottom w:w="0" w:type="dxa"/>
            <w:right w:w="108" w:type="dxa"/>
          </w:tblCellMar>
        </w:tblPrEx>
        <w:trPr>
          <w:trHeight w:val="227"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2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满意度指标</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服务对象满意度</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asciiTheme="majorEastAsia" w:hAnsiTheme="majorEastAsia" w:eastAsiaTheme="majorEastAsia"/>
                <w:b w:val="0"/>
                <w:sz w:val="20"/>
                <w:szCs w:val="20"/>
              </w:rPr>
            </w:pPr>
            <w:r>
              <w:rPr>
                <w:rFonts w:asciiTheme="majorEastAsia" w:hAnsiTheme="majorEastAsia" w:eastAsiaTheme="majorEastAsia"/>
                <w:b w:val="0"/>
                <w:sz w:val="20"/>
                <w:szCs w:val="20"/>
              </w:rPr>
              <w:t>满意</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4</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00" w:lineRule="exact"/>
              <w:jc w:val="center"/>
              <w:rPr>
                <w:rFonts w:asciiTheme="majorEastAsia" w:hAnsiTheme="majorEastAsia" w:eastAsiaTheme="majorEastAsia"/>
                <w:b w:val="0"/>
                <w:sz w:val="20"/>
                <w:szCs w:val="20"/>
              </w:rPr>
            </w:pPr>
            <w:r>
              <w:rPr>
                <w:rFonts w:hint="eastAsia" w:asciiTheme="majorEastAsia" w:hAnsiTheme="majorEastAsia" w:eastAsiaTheme="majorEastAsia"/>
                <w:b w:val="0"/>
                <w:sz w:val="20"/>
                <w:szCs w:val="20"/>
              </w:rPr>
              <w:t>满意度达 95%以上（8分），低于 95%按比例扣分</w:t>
            </w:r>
          </w:p>
        </w:tc>
      </w:tr>
      <w:tr>
        <w:tblPrEx>
          <w:tblCellMar>
            <w:top w:w="0" w:type="dxa"/>
            <w:left w:w="108" w:type="dxa"/>
            <w:bottom w:w="0" w:type="dxa"/>
            <w:right w:w="108" w:type="dxa"/>
          </w:tblCellMar>
        </w:tblPrEx>
        <w:trPr>
          <w:trHeight w:val="491" w:hRule="atLeast"/>
          <w:jc w:val="center"/>
        </w:trPr>
        <w:tc>
          <w:tcPr>
            <w:tcW w:w="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r>
              <w:rPr>
                <w:rFonts w:hint="eastAsia" w:ascii="宋体" w:hAnsi="宋体" w:eastAsia="宋体" w:cs="宋体"/>
                <w:b w:val="0"/>
                <w:color w:val="000000"/>
                <w:sz w:val="20"/>
                <w:szCs w:val="20"/>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rPr>
                <w:rFonts w:ascii="宋体" w:hAnsi="宋体" w:eastAsia="宋体" w:cs="宋体"/>
                <w:b w:val="0"/>
                <w:color w:val="000000"/>
                <w:sz w:val="20"/>
                <w:szCs w:val="20"/>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left"/>
              <w:textAlignment w:val="center"/>
              <w:rPr>
                <w:rFonts w:ascii="宋体" w:hAnsi="宋体" w:eastAsia="宋体" w:cs="宋体"/>
                <w:b w:val="0"/>
                <w:color w:val="000000"/>
                <w:sz w:val="20"/>
                <w:szCs w:val="20"/>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val="0"/>
              <w:spacing w:line="260" w:lineRule="exact"/>
              <w:jc w:val="center"/>
              <w:rPr>
                <w:rFonts w:ascii="宋体" w:hAnsi="宋体" w:eastAsia="宋体" w:cs="宋体"/>
                <w:b w:val="0"/>
                <w:color w:val="000000"/>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60" w:lineRule="exact"/>
              <w:jc w:val="center"/>
              <w:textAlignment w:val="center"/>
              <w:rPr>
                <w:rFonts w:ascii="宋体" w:hAnsi="宋体" w:eastAsia="宋体" w:cs="宋体"/>
                <w:b w:val="0"/>
                <w:color w:val="000000"/>
                <w:sz w:val="20"/>
                <w:szCs w:val="20"/>
              </w:rPr>
            </w:pPr>
            <w:r>
              <w:rPr>
                <w:rFonts w:hint="eastAsia" w:ascii="宋体" w:hAnsi="宋体" w:eastAsia="宋体" w:cs="宋体"/>
                <w:b w:val="0"/>
                <w:color w:val="000000"/>
                <w:sz w:val="20"/>
                <w:szCs w:val="20"/>
              </w:rPr>
              <w:t>99</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val="0"/>
              <w:spacing w:line="260" w:lineRule="exact"/>
              <w:rPr>
                <w:rFonts w:ascii="宋体" w:hAnsi="宋体" w:eastAsia="宋体" w:cs="宋体"/>
                <w:b w:val="0"/>
                <w:color w:val="000000"/>
                <w:sz w:val="22"/>
                <w:szCs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APQONC+å®ä½">
    <w:altName w:val="Segoe Print"/>
    <w:panose1 w:val="00000000000000000000"/>
    <w:charset w:val="01"/>
    <w:family w:val="auto"/>
    <w:pitch w:val="default"/>
    <w:sig w:usb0="00000000" w:usb1="00000000" w:usb2="01010101" w:usb3="01010101" w:csb0="01010101" w:csb1="01010101"/>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ed0a8f63-b9dc-405c-a20e-2bfc64856eb3"/>
  </w:docVars>
  <w:rsids>
    <w:rsidRoot w:val="00FA5873"/>
    <w:rsid w:val="000266A8"/>
    <w:rsid w:val="00163E7C"/>
    <w:rsid w:val="001B5882"/>
    <w:rsid w:val="001E37F8"/>
    <w:rsid w:val="003B2923"/>
    <w:rsid w:val="00417382"/>
    <w:rsid w:val="00421BDF"/>
    <w:rsid w:val="00490BBB"/>
    <w:rsid w:val="004A1A6E"/>
    <w:rsid w:val="00662885"/>
    <w:rsid w:val="00691ACA"/>
    <w:rsid w:val="00865C5B"/>
    <w:rsid w:val="008A5A9B"/>
    <w:rsid w:val="008B0AF7"/>
    <w:rsid w:val="00B5112F"/>
    <w:rsid w:val="00B51CD0"/>
    <w:rsid w:val="00B87342"/>
    <w:rsid w:val="00BB35A9"/>
    <w:rsid w:val="00BC20BE"/>
    <w:rsid w:val="00CC5DBF"/>
    <w:rsid w:val="00D07DC9"/>
    <w:rsid w:val="00D75D87"/>
    <w:rsid w:val="00E7342D"/>
    <w:rsid w:val="00E97F4D"/>
    <w:rsid w:val="00ED3772"/>
    <w:rsid w:val="00FA5873"/>
    <w:rsid w:val="23E73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eastAsia="仿宋" w:cs="仿宋_GB2312" w:asciiTheme="minorHAnsi" w:hAnsiTheme="minorHAnsi"/>
      <w:b/>
      <w:kern w:val="0"/>
      <w:sz w:val="28"/>
      <w:szCs w:val="28"/>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next w:val="3"/>
    <w:link w:val="14"/>
    <w:qFormat/>
    <w:uiPriority w:val="0"/>
    <w:pPr>
      <w:widowControl w:val="0"/>
      <w:spacing w:after="120"/>
      <w:ind w:left="420" w:leftChars="200" w:firstLine="420" w:firstLineChars="200"/>
      <w:jc w:val="both"/>
    </w:pPr>
    <w:rPr>
      <w:rFonts w:ascii="Times New Roman" w:hAnsi="Times New Roman" w:cs="Times New Roman" w:eastAsiaTheme="minorEastAsia"/>
      <w:bCs/>
      <w:kern w:val="0"/>
      <w:sz w:val="21"/>
      <w:szCs w:val="20"/>
      <w:lang w:val="en-US" w:eastAsia="zh-CN" w:bidi="ar-SA"/>
    </w:rPr>
  </w:style>
  <w:style w:type="paragraph" w:styleId="3">
    <w:name w:val="Body Text First Indent"/>
    <w:basedOn w:val="4"/>
    <w:link w:val="15"/>
    <w:semiHidden/>
    <w:unhideWhenUsed/>
    <w:uiPriority w:val="99"/>
    <w:pPr>
      <w:spacing w:line="240" w:lineRule="auto"/>
      <w:ind w:firstLine="420" w:firstLineChars="100"/>
      <w:jc w:val="both"/>
    </w:pPr>
    <w:rPr>
      <w:rFonts w:eastAsia="仿宋" w:cs="仿宋_GB2312" w:asciiTheme="minorHAnsi" w:hAnsiTheme="minorHAnsi"/>
      <w:b/>
      <w:sz w:val="28"/>
      <w:szCs w:val="28"/>
      <w:lang w:eastAsia="zh-CN"/>
    </w:rPr>
  </w:style>
  <w:style w:type="paragraph" w:styleId="4">
    <w:name w:val="Body Text"/>
    <w:next w:val="1"/>
    <w:link w:val="12"/>
    <w:unhideWhenUsed/>
    <w:qFormat/>
    <w:uiPriority w:val="99"/>
    <w:pPr>
      <w:spacing w:after="120" w:line="276" w:lineRule="auto"/>
    </w:pPr>
    <w:rPr>
      <w:rFonts w:ascii="微软雅黑" w:hAnsi="微软雅黑" w:eastAsia="微软雅黑" w:cstheme="minorBidi"/>
      <w:kern w:val="0"/>
      <w:sz w:val="22"/>
      <w:szCs w:val="22"/>
      <w:lang w:val="en-US" w:eastAsia="en-US" w:bidi="ar-SA"/>
    </w:rPr>
  </w:style>
  <w:style w:type="paragraph" w:styleId="5">
    <w:name w:val="Body Text Indent"/>
    <w:basedOn w:val="1"/>
    <w:link w:val="13"/>
    <w:semiHidden/>
    <w:unhideWhenUsed/>
    <w:uiPriority w:val="99"/>
    <w:pPr>
      <w:spacing w:after="120"/>
      <w:ind w:left="420" w:leftChars="200"/>
    </w:pPr>
  </w:style>
  <w:style w:type="paragraph" w:styleId="6">
    <w:name w:val="Normal (Web)"/>
    <w:basedOn w:val="1"/>
    <w:qFormat/>
    <w:uiPriority w:val="0"/>
    <w:pPr>
      <w:spacing w:beforeAutospacing="1" w:afterAutospacing="1"/>
      <w:jc w:val="left"/>
    </w:pPr>
    <w:rPr>
      <w:rFonts w:cs="Times New Roman"/>
      <w:sz w:val="24"/>
    </w:rPr>
  </w:style>
  <w:style w:type="paragraph" w:customStyle="1" w:styleId="9">
    <w:name w:val="Normal_0"/>
    <w:qFormat/>
    <w:uiPriority w:val="0"/>
    <w:pPr>
      <w:spacing w:before="120" w:after="240"/>
      <w:jc w:val="both"/>
    </w:pPr>
    <w:rPr>
      <w:rFonts w:asciiTheme="minorHAnsi" w:hAnsiTheme="minorHAnsi" w:eastAsiaTheme="minorEastAsia" w:cstheme="minorBidi"/>
      <w:kern w:val="0"/>
      <w:sz w:val="22"/>
      <w:szCs w:val="22"/>
      <w:lang w:val="en-US" w:eastAsia="en-US" w:bidi="ar-SA"/>
    </w:rPr>
  </w:style>
  <w:style w:type="paragraph" w:customStyle="1" w:styleId="10">
    <w:name w:val="Normal_11"/>
    <w:qFormat/>
    <w:uiPriority w:val="0"/>
    <w:pPr>
      <w:spacing w:before="120" w:after="240"/>
      <w:jc w:val="both"/>
    </w:pPr>
    <w:rPr>
      <w:rFonts w:asciiTheme="minorHAnsi" w:hAnsiTheme="minorHAnsi" w:eastAsiaTheme="minorEastAsia" w:cstheme="minorBidi"/>
      <w:kern w:val="0"/>
      <w:sz w:val="22"/>
      <w:szCs w:val="22"/>
      <w:lang w:val="en-US" w:eastAsia="en-US" w:bidi="ar-SA"/>
    </w:rPr>
  </w:style>
  <w:style w:type="paragraph" w:customStyle="1" w:styleId="11">
    <w:name w:val="Normal_18"/>
    <w:qFormat/>
    <w:uiPriority w:val="0"/>
    <w:pPr>
      <w:spacing w:before="120" w:after="240"/>
      <w:jc w:val="both"/>
    </w:pPr>
    <w:rPr>
      <w:rFonts w:asciiTheme="minorHAnsi" w:hAnsiTheme="minorHAnsi" w:eastAsiaTheme="minorEastAsia" w:cstheme="minorBidi"/>
      <w:kern w:val="0"/>
      <w:sz w:val="22"/>
      <w:szCs w:val="22"/>
      <w:lang w:val="en-US" w:eastAsia="en-US" w:bidi="ar-SA"/>
    </w:rPr>
  </w:style>
  <w:style w:type="character" w:customStyle="1" w:styleId="12">
    <w:name w:val="正文文本 Char"/>
    <w:basedOn w:val="8"/>
    <w:link w:val="4"/>
    <w:uiPriority w:val="99"/>
    <w:rPr>
      <w:rFonts w:ascii="微软雅黑" w:hAnsi="微软雅黑" w:eastAsia="微软雅黑"/>
      <w:kern w:val="0"/>
      <w:sz w:val="22"/>
      <w:lang w:eastAsia="en-US"/>
    </w:rPr>
  </w:style>
  <w:style w:type="character" w:customStyle="1" w:styleId="13">
    <w:name w:val="正文文本缩进 Char"/>
    <w:basedOn w:val="8"/>
    <w:link w:val="5"/>
    <w:semiHidden/>
    <w:uiPriority w:val="99"/>
    <w:rPr>
      <w:rFonts w:eastAsia="仿宋" w:cs="仿宋_GB2312"/>
      <w:b/>
      <w:kern w:val="0"/>
      <w:sz w:val="28"/>
      <w:szCs w:val="28"/>
    </w:rPr>
  </w:style>
  <w:style w:type="character" w:customStyle="1" w:styleId="14">
    <w:name w:val="正文首行缩进 2 Char"/>
    <w:basedOn w:val="13"/>
    <w:link w:val="2"/>
    <w:uiPriority w:val="0"/>
    <w:rPr>
      <w:rFonts w:ascii="Times New Roman" w:hAnsi="Times New Roman" w:cs="Times New Roman"/>
      <w:bCs/>
      <w:szCs w:val="20"/>
    </w:rPr>
  </w:style>
  <w:style w:type="character" w:customStyle="1" w:styleId="15">
    <w:name w:val="正文首行缩进 Char"/>
    <w:basedOn w:val="12"/>
    <w:link w:val="3"/>
    <w:semiHidden/>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3286</Words>
  <Characters>18732</Characters>
  <Lines>156</Lines>
  <Paragraphs>43</Paragraphs>
  <TotalTime>57</TotalTime>
  <ScaleCrop>false</ScaleCrop>
  <LinksUpToDate>false</LinksUpToDate>
  <CharactersWithSpaces>21975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2023-09-04T06:51:00Z</dcterms:created>
  <dc:creator>lenovo</dc:creator>
  <cp:lastModifiedBy>NTKO</cp:lastModifiedBy>
  <dcterms:modified xsi:type="dcterms:W3CDTF">2024-11-15T07:06:17Z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0967739FC1554F7BBB47A3304FB27F4B_13</vt:lpwstr>
  </property>
</Properties>
</file>